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AB72" w14:textId="111EB5B4" w:rsidR="006359F3" w:rsidRPr="00BD151C" w:rsidRDefault="00801899" w:rsidP="005828D7">
      <w:pPr>
        <w:spacing w:line="240" w:lineRule="auto"/>
        <w:jc w:val="center"/>
        <w:rPr>
          <w:rFonts w:cstheme="minorHAnsi"/>
          <w:b/>
          <w:bCs/>
        </w:rPr>
      </w:pPr>
      <w:r w:rsidRPr="00BD151C">
        <w:rPr>
          <w:rFonts w:cstheme="minorHAnsi"/>
          <w:b/>
          <w:bCs/>
        </w:rPr>
        <w:t>COVID-19 elleni vakcináció neuroimmunológiai betegségekben</w:t>
      </w:r>
    </w:p>
    <w:p w14:paraId="622D725C" w14:textId="77777777" w:rsidR="00DA0E4F" w:rsidRPr="00BD151C" w:rsidRDefault="00DA0E4F" w:rsidP="005828D7">
      <w:pPr>
        <w:spacing w:line="240" w:lineRule="auto"/>
        <w:rPr>
          <w:rFonts w:cstheme="minorHAnsi"/>
          <w:b/>
          <w:bCs/>
        </w:rPr>
      </w:pPr>
    </w:p>
    <w:p w14:paraId="2032B02F" w14:textId="3E3F847E" w:rsidR="00801899" w:rsidRPr="00BD151C" w:rsidRDefault="00801899" w:rsidP="005828D7">
      <w:pPr>
        <w:spacing w:line="240" w:lineRule="auto"/>
        <w:rPr>
          <w:rFonts w:cstheme="minorHAnsi"/>
        </w:rPr>
      </w:pPr>
      <w:r w:rsidRPr="00221337">
        <w:rPr>
          <w:rFonts w:cstheme="minorHAnsi"/>
          <w:highlight w:val="yellow"/>
        </w:rPr>
        <w:t>Kibocsátás dátuma: 2021.</w:t>
      </w:r>
      <w:r w:rsidR="005E2939">
        <w:rPr>
          <w:rFonts w:cstheme="minorHAnsi"/>
          <w:highlight w:val="yellow"/>
        </w:rPr>
        <w:t>10.</w:t>
      </w:r>
      <w:r w:rsidR="00FC6E38">
        <w:rPr>
          <w:rFonts w:cstheme="minorHAnsi"/>
          <w:highlight w:val="yellow"/>
        </w:rPr>
        <w:t>1</w:t>
      </w:r>
      <w:r w:rsidR="00282E00">
        <w:rPr>
          <w:rFonts w:cstheme="minorHAnsi"/>
          <w:highlight w:val="yellow"/>
        </w:rPr>
        <w:t>4</w:t>
      </w:r>
      <w:r w:rsidR="00134E46" w:rsidRPr="00221337">
        <w:rPr>
          <w:rFonts w:cstheme="minorHAnsi"/>
          <w:highlight w:val="yellow"/>
        </w:rPr>
        <w:t>.</w:t>
      </w:r>
    </w:p>
    <w:p w14:paraId="1CBF879F" w14:textId="77777777" w:rsidR="00DA0E4F" w:rsidRPr="00BD151C" w:rsidRDefault="00DA0E4F" w:rsidP="005828D7">
      <w:pPr>
        <w:spacing w:line="240" w:lineRule="auto"/>
        <w:rPr>
          <w:rFonts w:cstheme="minorHAnsi"/>
        </w:rPr>
      </w:pPr>
    </w:p>
    <w:p w14:paraId="4C3AE600" w14:textId="77777777" w:rsidR="00DA0E4F" w:rsidRPr="00BD151C" w:rsidRDefault="0036401E" w:rsidP="005828D7">
      <w:pPr>
        <w:spacing w:line="240" w:lineRule="auto"/>
        <w:jc w:val="both"/>
        <w:rPr>
          <w:rFonts w:cstheme="minorHAnsi"/>
        </w:rPr>
      </w:pPr>
      <w:r w:rsidRPr="00BD151C">
        <w:rPr>
          <w:rFonts w:cstheme="minorHAnsi"/>
        </w:rPr>
        <w:t>A</w:t>
      </w:r>
      <w:r w:rsidR="00D434FA" w:rsidRPr="00BD151C">
        <w:rPr>
          <w:rFonts w:cstheme="minorHAnsi"/>
        </w:rPr>
        <w:t xml:space="preserve"> védőoltások fertőző megbetegedések </w:t>
      </w:r>
      <w:r w:rsidR="00A256AC" w:rsidRPr="00BD151C">
        <w:rPr>
          <w:rFonts w:cstheme="minorHAnsi"/>
        </w:rPr>
        <w:t xml:space="preserve">célzott </w:t>
      </w:r>
      <w:r w:rsidR="00D434FA" w:rsidRPr="00BD151C">
        <w:rPr>
          <w:rFonts w:cstheme="minorHAnsi"/>
        </w:rPr>
        <w:t xml:space="preserve">megelőzését </w:t>
      </w:r>
      <w:r w:rsidR="009E7643" w:rsidRPr="00BD151C">
        <w:rPr>
          <w:rFonts w:cstheme="minorHAnsi"/>
        </w:rPr>
        <w:t>szolgálják</w:t>
      </w:r>
      <w:r w:rsidR="00A256AC" w:rsidRPr="00BD151C">
        <w:rPr>
          <w:rFonts w:cstheme="minorHAnsi"/>
        </w:rPr>
        <w:t>.</w:t>
      </w:r>
    </w:p>
    <w:p w14:paraId="75A1E612" w14:textId="45E122E0" w:rsidR="00D434FA" w:rsidRPr="00BD151C" w:rsidRDefault="00A256AC" w:rsidP="005828D7">
      <w:pPr>
        <w:spacing w:line="240" w:lineRule="auto"/>
        <w:jc w:val="both"/>
        <w:rPr>
          <w:rFonts w:cstheme="minorHAnsi"/>
        </w:rPr>
      </w:pPr>
      <w:r w:rsidRPr="00BD151C">
        <w:rPr>
          <w:rFonts w:cstheme="minorHAnsi"/>
        </w:rPr>
        <w:t>A vakcináció</w:t>
      </w:r>
      <w:r w:rsidR="00D434FA" w:rsidRPr="00BD151C">
        <w:rPr>
          <w:rFonts w:cstheme="minorHAnsi"/>
        </w:rPr>
        <w:t xml:space="preserve"> </w:t>
      </w:r>
      <w:r w:rsidRPr="00BD151C">
        <w:rPr>
          <w:rFonts w:cstheme="minorHAnsi"/>
        </w:rPr>
        <w:t xml:space="preserve">a </w:t>
      </w:r>
      <w:r w:rsidR="0036401E" w:rsidRPr="00BD151C">
        <w:rPr>
          <w:rFonts w:cstheme="minorHAnsi"/>
        </w:rPr>
        <w:t>neuroimmunológiai betegséggel élők esetében</w:t>
      </w:r>
      <w:r w:rsidR="00D434FA" w:rsidRPr="00BD151C">
        <w:rPr>
          <w:rFonts w:cstheme="minorHAnsi"/>
        </w:rPr>
        <w:t xml:space="preserve"> – </w:t>
      </w:r>
      <w:r w:rsidR="0036401E" w:rsidRPr="00BD151C">
        <w:rPr>
          <w:rFonts w:cstheme="minorHAnsi"/>
        </w:rPr>
        <w:t>hasonlóan</w:t>
      </w:r>
      <w:r w:rsidR="00D434FA" w:rsidRPr="00BD151C">
        <w:rPr>
          <w:rFonts w:cstheme="minorHAnsi"/>
        </w:rPr>
        <w:t xml:space="preserve"> </w:t>
      </w:r>
      <w:r w:rsidR="0036401E" w:rsidRPr="00BD151C">
        <w:rPr>
          <w:rFonts w:cstheme="minorHAnsi"/>
        </w:rPr>
        <w:t>az egészsége</w:t>
      </w:r>
      <w:r w:rsidR="20BE330B" w:rsidRPr="00BD151C">
        <w:rPr>
          <w:rFonts w:cstheme="minorHAnsi"/>
        </w:rPr>
        <w:t>se</w:t>
      </w:r>
      <w:r w:rsidR="0036401E" w:rsidRPr="00BD151C">
        <w:rPr>
          <w:rFonts w:cstheme="minorHAnsi"/>
        </w:rPr>
        <w:t>khez</w:t>
      </w:r>
      <w:r w:rsidR="00D434FA" w:rsidRPr="00BD151C">
        <w:rPr>
          <w:rFonts w:cstheme="minorHAnsi"/>
        </w:rPr>
        <w:t xml:space="preserve"> – </w:t>
      </w:r>
      <w:r w:rsidR="0036401E" w:rsidRPr="00BD151C">
        <w:rPr>
          <w:rFonts w:cstheme="minorHAnsi"/>
        </w:rPr>
        <w:t>általánosságban nem ellenjavallt. Az autoimmun betegek immunizációja során észlelhető oltási reakció</w:t>
      </w:r>
      <w:r w:rsidR="76D9CC17" w:rsidRPr="00BD151C">
        <w:rPr>
          <w:rFonts w:cstheme="minorHAnsi"/>
        </w:rPr>
        <w:t>k</w:t>
      </w:r>
      <w:r w:rsidR="0036401E" w:rsidRPr="00BD151C">
        <w:rPr>
          <w:rFonts w:cstheme="minorHAnsi"/>
        </w:rPr>
        <w:t xml:space="preserve"> és szövődmény</w:t>
      </w:r>
      <w:r w:rsidR="1EF468BE" w:rsidRPr="00BD151C">
        <w:rPr>
          <w:rFonts w:cstheme="minorHAnsi"/>
        </w:rPr>
        <w:t>ek</w:t>
      </w:r>
      <w:r w:rsidR="0036401E" w:rsidRPr="00BD151C">
        <w:rPr>
          <w:rFonts w:cstheme="minorHAnsi"/>
        </w:rPr>
        <w:t xml:space="preserve"> incidenciája megegyezik az egészséges populációban is tapasztalt </w:t>
      </w:r>
      <w:r w:rsidR="6F7A8646" w:rsidRPr="00BD151C">
        <w:rPr>
          <w:rFonts w:cstheme="minorHAnsi"/>
        </w:rPr>
        <w:t>előfordulási gyakorisággal</w:t>
      </w:r>
      <w:r w:rsidR="65C7ED3C" w:rsidRPr="00BD151C">
        <w:rPr>
          <w:rFonts w:cstheme="minorHAnsi"/>
        </w:rPr>
        <w:t>.</w:t>
      </w:r>
    </w:p>
    <w:p w14:paraId="788AC036" w14:textId="235BA33C" w:rsidR="005828D7" w:rsidRPr="005A3600" w:rsidRDefault="005828D7" w:rsidP="005828D7">
      <w:pPr>
        <w:spacing w:line="240" w:lineRule="auto"/>
        <w:jc w:val="both"/>
        <w:rPr>
          <w:rFonts w:cstheme="minorHAnsi"/>
        </w:rPr>
      </w:pPr>
    </w:p>
    <w:p w14:paraId="668B4757" w14:textId="264909A0" w:rsidR="00B821DA" w:rsidRDefault="610DA476" w:rsidP="005828D7">
      <w:pPr>
        <w:spacing w:line="240" w:lineRule="auto"/>
        <w:jc w:val="both"/>
        <w:rPr>
          <w:rFonts w:cstheme="minorHAnsi"/>
        </w:rPr>
      </w:pPr>
      <w:r w:rsidRPr="00BD151C">
        <w:rPr>
          <w:rFonts w:cstheme="minorHAnsi"/>
          <w:i/>
          <w:iCs/>
        </w:rPr>
        <w:t>É</w:t>
      </w:r>
      <w:r w:rsidR="65C7ED3C" w:rsidRPr="00BD151C">
        <w:rPr>
          <w:rFonts w:cstheme="minorHAnsi"/>
          <w:i/>
          <w:iCs/>
        </w:rPr>
        <w:t>lő</w:t>
      </w:r>
      <w:r w:rsidR="00A256AC" w:rsidRPr="00BD151C">
        <w:rPr>
          <w:rFonts w:cstheme="minorHAnsi"/>
          <w:i/>
          <w:iCs/>
        </w:rPr>
        <w:t xml:space="preserve">, gyengített kórokozókat tartalmazó vakcinák </w:t>
      </w:r>
      <w:r w:rsidR="00C57329" w:rsidRPr="00BD151C">
        <w:rPr>
          <w:rFonts w:cstheme="minorHAnsi"/>
        </w:rPr>
        <w:t>alkalmazása</w:t>
      </w:r>
      <w:r w:rsidR="01FB5E44" w:rsidRPr="00BD151C">
        <w:rPr>
          <w:rFonts w:cstheme="minorHAnsi"/>
        </w:rPr>
        <w:t xml:space="preserve"> immunszu</w:t>
      </w:r>
      <w:r w:rsidR="6FD6BC2D" w:rsidRPr="00BD151C">
        <w:rPr>
          <w:rFonts w:cstheme="minorHAnsi"/>
        </w:rPr>
        <w:t>p</w:t>
      </w:r>
      <w:r w:rsidR="01FB5E44" w:rsidRPr="00BD151C">
        <w:rPr>
          <w:rFonts w:cstheme="minorHAnsi"/>
        </w:rPr>
        <w:t xml:space="preserve">presszív és </w:t>
      </w:r>
      <w:r w:rsidR="70A1B2CC" w:rsidRPr="00BD151C">
        <w:rPr>
          <w:rFonts w:cstheme="minorHAnsi"/>
        </w:rPr>
        <w:t>immunrekonstrukciós kezelés alatt</w:t>
      </w:r>
      <w:r w:rsidR="5CA6F042" w:rsidRPr="00BD151C">
        <w:rPr>
          <w:rFonts w:cstheme="minorHAnsi"/>
        </w:rPr>
        <w:t xml:space="preserve"> </w:t>
      </w:r>
      <w:r w:rsidR="00C57329" w:rsidRPr="00BD151C">
        <w:rPr>
          <w:rFonts w:cstheme="minorHAnsi"/>
        </w:rPr>
        <w:t xml:space="preserve">kontraindikált, </w:t>
      </w:r>
      <w:r w:rsidR="5CA6F042" w:rsidRPr="00BD151C">
        <w:rPr>
          <w:rFonts w:cstheme="minorHAnsi"/>
        </w:rPr>
        <w:t xml:space="preserve">mert </w:t>
      </w:r>
      <w:r w:rsidR="00DE4F11" w:rsidRPr="00BD151C">
        <w:rPr>
          <w:rFonts w:cstheme="minorHAnsi"/>
        </w:rPr>
        <w:t>oltási betegség kockázatát hordozzák.</w:t>
      </w:r>
      <w:r w:rsidR="65E11599" w:rsidRPr="00BD151C">
        <w:rPr>
          <w:rFonts w:cstheme="minorHAnsi"/>
        </w:rPr>
        <w:t xml:space="preserve"> </w:t>
      </w:r>
      <w:r w:rsidR="00B55B17" w:rsidRPr="00BD151C">
        <w:rPr>
          <w:rFonts w:cstheme="minorHAnsi"/>
        </w:rPr>
        <w:t xml:space="preserve">Legkésőbb </w:t>
      </w:r>
      <w:r w:rsidR="65E11599" w:rsidRPr="00BD151C">
        <w:rPr>
          <w:rFonts w:cstheme="minorHAnsi"/>
        </w:rPr>
        <w:t xml:space="preserve">4 héttel </w:t>
      </w:r>
      <w:r w:rsidR="001B6E8C" w:rsidRPr="00BD151C">
        <w:rPr>
          <w:rFonts w:cstheme="minorHAnsi"/>
        </w:rPr>
        <w:t>a kezelés megkezdése előtt</w:t>
      </w:r>
      <w:r w:rsidR="021486A1" w:rsidRPr="00BD151C">
        <w:rPr>
          <w:rFonts w:cstheme="minorHAnsi"/>
        </w:rPr>
        <w:t xml:space="preserve"> </w:t>
      </w:r>
      <w:r w:rsidR="00B55B17" w:rsidRPr="00BD151C">
        <w:rPr>
          <w:rFonts w:cstheme="minorHAnsi"/>
        </w:rPr>
        <w:t xml:space="preserve">vagy </w:t>
      </w:r>
      <w:r w:rsidR="021486A1" w:rsidRPr="00BD151C">
        <w:rPr>
          <w:rFonts w:cstheme="minorHAnsi"/>
        </w:rPr>
        <w:t>a kezelés megszakítása után</w:t>
      </w:r>
      <w:r w:rsidR="00A256AC" w:rsidRPr="00BD151C">
        <w:rPr>
          <w:rFonts w:cstheme="minorHAnsi"/>
        </w:rPr>
        <w:t xml:space="preserve"> – az </w:t>
      </w:r>
      <w:r w:rsidR="00B55B17" w:rsidRPr="00BD151C">
        <w:rPr>
          <w:rFonts w:cstheme="minorHAnsi"/>
        </w:rPr>
        <w:t xml:space="preserve">alkalmazott szer </w:t>
      </w:r>
      <w:r w:rsidR="00B55B17" w:rsidRPr="005E2939">
        <w:rPr>
          <w:rFonts w:cstheme="minorHAnsi"/>
        </w:rPr>
        <w:t>farmakokinetikájától függően</w:t>
      </w:r>
      <w:r w:rsidR="00A256AC" w:rsidRPr="005E2939">
        <w:rPr>
          <w:rFonts w:cstheme="minorHAnsi"/>
        </w:rPr>
        <w:t xml:space="preserve"> – 2</w:t>
      </w:r>
      <w:r w:rsidR="021486A1" w:rsidRPr="005E2939">
        <w:rPr>
          <w:rFonts w:cstheme="minorHAnsi"/>
        </w:rPr>
        <w:t>-6 hónap</w:t>
      </w:r>
      <w:r w:rsidR="00B55B17" w:rsidRPr="005E2939">
        <w:rPr>
          <w:rFonts w:cstheme="minorHAnsi"/>
        </w:rPr>
        <w:t xml:space="preserve"> múlva jöhet szóba </w:t>
      </w:r>
      <w:r w:rsidR="00A256AC" w:rsidRPr="005E2939">
        <w:rPr>
          <w:rFonts w:cstheme="minorHAnsi"/>
        </w:rPr>
        <w:t xml:space="preserve">ilyen típusú </w:t>
      </w:r>
      <w:r w:rsidR="001B6E8C" w:rsidRPr="005E2939">
        <w:rPr>
          <w:rFonts w:cstheme="minorHAnsi"/>
        </w:rPr>
        <w:t>védőoltás</w:t>
      </w:r>
      <w:r w:rsidR="00B55B17" w:rsidRPr="005E2939">
        <w:rPr>
          <w:rFonts w:cstheme="minorHAnsi"/>
        </w:rPr>
        <w:t xml:space="preserve"> használata.</w:t>
      </w:r>
      <w:r w:rsidR="00927CED" w:rsidRPr="005E2939">
        <w:rPr>
          <w:rFonts w:cstheme="minorHAnsi"/>
        </w:rPr>
        <w:t xml:space="preserve"> Az alkalmazott COVID-19 elleni vakcinák egyike sem ilyen típusú.</w:t>
      </w:r>
      <w:r w:rsidR="00927CED">
        <w:rPr>
          <w:rFonts w:cstheme="minorHAnsi"/>
        </w:rPr>
        <w:t xml:space="preserve"> </w:t>
      </w:r>
    </w:p>
    <w:p w14:paraId="7AE5F43A" w14:textId="77777777" w:rsidR="005828D7" w:rsidRDefault="005828D7" w:rsidP="005828D7">
      <w:pPr>
        <w:spacing w:line="240" w:lineRule="auto"/>
        <w:jc w:val="both"/>
        <w:rPr>
          <w:rFonts w:cstheme="minorHAnsi"/>
        </w:rPr>
      </w:pPr>
    </w:p>
    <w:p w14:paraId="3D3AF88D" w14:textId="368EEAE7" w:rsidR="00D434FA" w:rsidRPr="00BD151C" w:rsidRDefault="00B55B17" w:rsidP="005828D7">
      <w:pPr>
        <w:spacing w:line="240" w:lineRule="auto"/>
        <w:jc w:val="both"/>
        <w:rPr>
          <w:rFonts w:cstheme="minorHAnsi"/>
        </w:rPr>
      </w:pPr>
      <w:r w:rsidRPr="005E2939">
        <w:rPr>
          <w:rFonts w:cstheme="minorHAnsi"/>
          <w:i/>
          <w:iCs/>
        </w:rPr>
        <w:t>N</w:t>
      </w:r>
      <w:r w:rsidR="021486A1" w:rsidRPr="005E2939">
        <w:rPr>
          <w:rFonts w:cstheme="minorHAnsi"/>
          <w:i/>
          <w:iCs/>
        </w:rPr>
        <w:t>agy dózisú szteroid</w:t>
      </w:r>
      <w:r w:rsidR="00A256AC" w:rsidRPr="005E2939">
        <w:rPr>
          <w:rFonts w:cstheme="minorHAnsi"/>
          <w:i/>
          <w:iCs/>
        </w:rPr>
        <w:t xml:space="preserve"> </w:t>
      </w:r>
      <w:r w:rsidR="021486A1" w:rsidRPr="005E2939">
        <w:rPr>
          <w:rFonts w:cstheme="minorHAnsi"/>
          <w:i/>
          <w:iCs/>
        </w:rPr>
        <w:t>kezelés</w:t>
      </w:r>
      <w:r w:rsidR="021486A1" w:rsidRPr="005E2939">
        <w:rPr>
          <w:rFonts w:cstheme="minorHAnsi"/>
        </w:rPr>
        <w:t xml:space="preserve"> után </w:t>
      </w:r>
      <w:r w:rsidR="005E2939">
        <w:rPr>
          <w:rFonts w:cstheme="minorHAnsi"/>
        </w:rPr>
        <w:t xml:space="preserve">a </w:t>
      </w:r>
      <w:r w:rsidR="00766F60" w:rsidRPr="005E2939">
        <w:rPr>
          <w:rFonts w:cstheme="minorHAnsi"/>
        </w:rPr>
        <w:t>legtöbb ajánlás szerint 3</w:t>
      </w:r>
      <w:r w:rsidR="0000439F" w:rsidRPr="005E2939">
        <w:rPr>
          <w:rFonts w:cstheme="minorHAnsi"/>
        </w:rPr>
        <w:t>-5</w:t>
      </w:r>
      <w:r w:rsidR="002837B1" w:rsidRPr="005E2939">
        <w:rPr>
          <w:rFonts w:cstheme="minorHAnsi"/>
        </w:rPr>
        <w:t xml:space="preserve"> nap</w:t>
      </w:r>
      <w:r w:rsidR="00F33598" w:rsidRPr="005E2939">
        <w:rPr>
          <w:rFonts w:cstheme="minorHAnsi"/>
        </w:rPr>
        <w:t xml:space="preserve"> elteltével oltható </w:t>
      </w:r>
      <w:r w:rsidR="00927CED" w:rsidRPr="005E2939">
        <w:rPr>
          <w:rFonts w:cstheme="minorHAnsi"/>
        </w:rPr>
        <w:t>– kivéve élő, gyengített kórokozókat tartalmazó vakcinával</w:t>
      </w:r>
      <w:r w:rsidR="00927CED">
        <w:rPr>
          <w:rFonts w:cstheme="minorHAnsi"/>
        </w:rPr>
        <w:t xml:space="preserve"> - </w:t>
      </w:r>
      <w:r w:rsidR="00F33598" w:rsidRPr="00BD151C">
        <w:rPr>
          <w:rFonts w:cstheme="minorHAnsi"/>
        </w:rPr>
        <w:t xml:space="preserve">a </w:t>
      </w:r>
      <w:r w:rsidR="00A256AC" w:rsidRPr="005A3600">
        <w:rPr>
          <w:rFonts w:cstheme="minorHAnsi"/>
          <w:color w:val="FF0000"/>
        </w:rPr>
        <w:t xml:space="preserve">klinikailag </w:t>
      </w:r>
      <w:r w:rsidR="00F33598" w:rsidRPr="005A3600">
        <w:rPr>
          <w:rFonts w:cstheme="minorHAnsi"/>
          <w:color w:val="FF0000"/>
        </w:rPr>
        <w:t xml:space="preserve">remisszióban lévő </w:t>
      </w:r>
      <w:r w:rsidR="00F33598" w:rsidRPr="00BD151C">
        <w:rPr>
          <w:rFonts w:cstheme="minorHAnsi"/>
        </w:rPr>
        <w:t>beteg</w:t>
      </w:r>
      <w:r w:rsidR="021486A1" w:rsidRPr="00BD151C">
        <w:rPr>
          <w:rFonts w:cstheme="minorHAnsi"/>
        </w:rPr>
        <w:t>.</w:t>
      </w:r>
      <w:r w:rsidR="00990490">
        <w:rPr>
          <w:rFonts w:ascii="Calibri" w:hAnsi="Calibri" w:cs="Calibri"/>
          <w:color w:val="000000"/>
          <w:shd w:val="clear" w:color="auto" w:fill="FFFFFF"/>
        </w:rPr>
        <w:t xml:space="preserve"> </w:t>
      </w:r>
      <w:hyperlink r:id="rId11" w:history="1">
        <w:r w:rsidR="00990490" w:rsidRPr="00036ED9">
          <w:rPr>
            <w:rStyle w:val="Hiperhivatkozs"/>
            <w:rFonts w:ascii="Calibri" w:hAnsi="Calibri" w:cs="Calibri"/>
          </w:rPr>
          <w:t>https://cnmsc.ca/Covid19VaccineGuidance</w:t>
        </w:r>
      </w:hyperlink>
    </w:p>
    <w:p w14:paraId="2888E040" w14:textId="77777777" w:rsidR="00DA0E4F" w:rsidRPr="00BD151C" w:rsidRDefault="00DA0E4F" w:rsidP="005828D7">
      <w:pPr>
        <w:spacing w:line="240" w:lineRule="auto"/>
        <w:jc w:val="both"/>
        <w:rPr>
          <w:rFonts w:cstheme="minorHAnsi"/>
        </w:rPr>
      </w:pPr>
    </w:p>
    <w:p w14:paraId="4B828000" w14:textId="6BC0B622" w:rsidR="0036401E" w:rsidRPr="00BD151C" w:rsidRDefault="0036401E" w:rsidP="005828D7">
      <w:pPr>
        <w:spacing w:line="240" w:lineRule="auto"/>
        <w:jc w:val="both"/>
        <w:rPr>
          <w:rFonts w:cstheme="minorHAnsi"/>
        </w:rPr>
      </w:pPr>
      <w:r w:rsidRPr="00BD151C">
        <w:rPr>
          <w:rFonts w:cstheme="minorHAnsi"/>
        </w:rPr>
        <w:t>Egy adott fertőzés megelőzésére szolgáló olt</w:t>
      </w:r>
      <w:r w:rsidR="5FF1F780" w:rsidRPr="00BD151C">
        <w:rPr>
          <w:rFonts w:cstheme="minorHAnsi"/>
        </w:rPr>
        <w:t>ási stratégiát</w:t>
      </w:r>
      <w:r w:rsidR="005F1451" w:rsidRPr="00BD151C">
        <w:rPr>
          <w:rFonts w:cstheme="minorHAnsi"/>
        </w:rPr>
        <w:t xml:space="preserve"> – az </w:t>
      </w:r>
      <w:r w:rsidR="5FF1F780" w:rsidRPr="00BD151C">
        <w:rPr>
          <w:rFonts w:cstheme="minorHAnsi"/>
        </w:rPr>
        <w:t xml:space="preserve">oltóanyag </w:t>
      </w:r>
      <w:r w:rsidR="5982B5FC" w:rsidRPr="00BD151C">
        <w:rPr>
          <w:rFonts w:cstheme="minorHAnsi"/>
        </w:rPr>
        <w:t>és az oltási időpont megválasztását</w:t>
      </w:r>
      <w:r w:rsidR="005F1451" w:rsidRPr="00BD151C">
        <w:rPr>
          <w:rFonts w:cstheme="minorHAnsi"/>
        </w:rPr>
        <w:t xml:space="preserve"> – egyénileg </w:t>
      </w:r>
      <w:r w:rsidRPr="00BD151C">
        <w:rPr>
          <w:rFonts w:cstheme="minorHAnsi"/>
        </w:rPr>
        <w:t>kell meghatározni. A</w:t>
      </w:r>
      <w:r w:rsidR="3D69CAE6" w:rsidRPr="00BD151C">
        <w:rPr>
          <w:rFonts w:cstheme="minorHAnsi"/>
        </w:rPr>
        <w:t xml:space="preserve"> védőoltás </w:t>
      </w:r>
      <w:r w:rsidRPr="00BD151C">
        <w:rPr>
          <w:rFonts w:cstheme="minorHAnsi"/>
        </w:rPr>
        <w:t>alkalmazhatóság</w:t>
      </w:r>
      <w:r w:rsidR="7C8096C4" w:rsidRPr="00BD151C">
        <w:rPr>
          <w:rFonts w:cstheme="minorHAnsi"/>
        </w:rPr>
        <w:t>a</w:t>
      </w:r>
      <w:r w:rsidRPr="00BD151C">
        <w:rPr>
          <w:rFonts w:cstheme="minorHAnsi"/>
        </w:rPr>
        <w:t xml:space="preserve"> függhet az oltóanyag típusától, a </w:t>
      </w:r>
      <w:r w:rsidR="00094C2D" w:rsidRPr="00BD151C">
        <w:rPr>
          <w:rFonts w:cstheme="minorHAnsi"/>
        </w:rPr>
        <w:t>neuroimmunológiai alapbetegség</w:t>
      </w:r>
      <w:r w:rsidRPr="00BD151C">
        <w:rPr>
          <w:rFonts w:cstheme="minorHAnsi"/>
        </w:rPr>
        <w:t xml:space="preserve"> kezelés</w:t>
      </w:r>
      <w:r w:rsidR="00094C2D" w:rsidRPr="00BD151C">
        <w:rPr>
          <w:rFonts w:cstheme="minorHAnsi"/>
        </w:rPr>
        <w:t>é</w:t>
      </w:r>
      <w:r w:rsidR="332B96C9" w:rsidRPr="00BD151C">
        <w:rPr>
          <w:rFonts w:cstheme="minorHAnsi"/>
        </w:rPr>
        <w:t xml:space="preserve">re </w:t>
      </w:r>
      <w:r w:rsidR="017D928C" w:rsidRPr="00BD151C">
        <w:rPr>
          <w:rFonts w:cstheme="minorHAnsi"/>
        </w:rPr>
        <w:t>alkalmazott</w:t>
      </w:r>
      <w:r w:rsidR="332B96C9" w:rsidRPr="00BD151C">
        <w:rPr>
          <w:rFonts w:cstheme="minorHAnsi"/>
        </w:rPr>
        <w:t xml:space="preserve"> gyógyszer</w:t>
      </w:r>
      <w:r w:rsidRPr="00BD151C">
        <w:rPr>
          <w:rFonts w:cstheme="minorHAnsi"/>
        </w:rPr>
        <w:t xml:space="preserve"> hatásmechanizmusától, az </w:t>
      </w:r>
      <w:r w:rsidR="001E7D89" w:rsidRPr="00BD151C">
        <w:rPr>
          <w:rFonts w:cstheme="minorHAnsi"/>
        </w:rPr>
        <w:t xml:space="preserve">alapbetegség miatt </w:t>
      </w:r>
      <w:r w:rsidRPr="00BD151C">
        <w:rPr>
          <w:rFonts w:cstheme="minorHAnsi"/>
        </w:rPr>
        <w:t>intermittálóan vagy folyamatosan alkalmazott szteroid kezelés</w:t>
      </w:r>
      <w:r w:rsidR="7CB03229" w:rsidRPr="00BD151C">
        <w:rPr>
          <w:rFonts w:cstheme="minorHAnsi"/>
        </w:rPr>
        <w:t>től</w:t>
      </w:r>
      <w:r w:rsidR="00F33598" w:rsidRPr="00BD151C">
        <w:rPr>
          <w:rFonts w:cstheme="minorHAnsi"/>
        </w:rPr>
        <w:t xml:space="preserve">. Figyelembe kell venni az aktuális epidemiológiai helyzetet, a páciens oltottságát és védettségét </w:t>
      </w:r>
      <w:r w:rsidR="00A256AC" w:rsidRPr="00BD151C">
        <w:rPr>
          <w:rFonts w:cstheme="minorHAnsi"/>
        </w:rPr>
        <w:t xml:space="preserve">egyéb </w:t>
      </w:r>
      <w:r w:rsidR="00F33598" w:rsidRPr="00BD151C">
        <w:rPr>
          <w:rFonts w:cstheme="minorHAnsi"/>
        </w:rPr>
        <w:t>fertőző</w:t>
      </w:r>
      <w:r w:rsidR="00E16A3E" w:rsidRPr="00BD151C">
        <w:rPr>
          <w:rFonts w:cstheme="minorHAnsi"/>
        </w:rPr>
        <w:t xml:space="preserve"> </w:t>
      </w:r>
      <w:r w:rsidR="00F33598" w:rsidRPr="00BD151C">
        <w:rPr>
          <w:rFonts w:cstheme="minorHAnsi"/>
        </w:rPr>
        <w:t xml:space="preserve">betegségekkel szemben (szeropozitivitás), </w:t>
      </w:r>
      <w:r w:rsidR="00A256AC" w:rsidRPr="00BD151C">
        <w:rPr>
          <w:rFonts w:cstheme="minorHAnsi"/>
        </w:rPr>
        <w:t xml:space="preserve">és </w:t>
      </w:r>
      <w:r w:rsidR="00F33598" w:rsidRPr="00BD151C">
        <w:rPr>
          <w:rFonts w:cstheme="minorHAnsi"/>
        </w:rPr>
        <w:t>nem utolsó sorban életkörülményeit</w:t>
      </w:r>
      <w:r w:rsidR="000C515D" w:rsidRPr="00BD151C">
        <w:rPr>
          <w:rFonts w:cstheme="minorHAnsi"/>
        </w:rPr>
        <w:t xml:space="preserve"> és</w:t>
      </w:r>
      <w:r w:rsidR="00F33598" w:rsidRPr="00BD151C">
        <w:rPr>
          <w:rFonts w:cstheme="minorHAnsi"/>
        </w:rPr>
        <w:t xml:space="preserve"> foglalkozását.</w:t>
      </w:r>
    </w:p>
    <w:p w14:paraId="1255FCA0" w14:textId="77777777" w:rsidR="003B6297" w:rsidRPr="00BD151C" w:rsidRDefault="003B6297" w:rsidP="005828D7">
      <w:pPr>
        <w:spacing w:line="240" w:lineRule="auto"/>
        <w:jc w:val="both"/>
        <w:rPr>
          <w:rFonts w:cstheme="minorHAnsi"/>
          <w:b/>
          <w:bCs/>
        </w:rPr>
      </w:pPr>
    </w:p>
    <w:p w14:paraId="6ABFEBCF" w14:textId="6903B999" w:rsidR="000C515D" w:rsidRPr="00BD151C" w:rsidRDefault="000C515D" w:rsidP="005828D7">
      <w:pPr>
        <w:spacing w:line="240" w:lineRule="auto"/>
        <w:jc w:val="both"/>
        <w:rPr>
          <w:rFonts w:cstheme="minorHAnsi"/>
          <w:b/>
          <w:bCs/>
        </w:rPr>
      </w:pPr>
      <w:r w:rsidRPr="00BD151C">
        <w:rPr>
          <w:rFonts w:cstheme="minorHAnsi"/>
          <w:b/>
          <w:bCs/>
        </w:rPr>
        <w:t>COVID-19 vakcinálás:</w:t>
      </w:r>
    </w:p>
    <w:p w14:paraId="0F0F23BB" w14:textId="2B1F5FDE" w:rsidR="00762CB8" w:rsidRPr="00BD151C" w:rsidRDefault="16886083" w:rsidP="005828D7">
      <w:pPr>
        <w:spacing w:line="240" w:lineRule="auto"/>
        <w:jc w:val="both"/>
        <w:rPr>
          <w:rFonts w:cstheme="minorHAnsi"/>
        </w:rPr>
      </w:pPr>
      <w:r w:rsidRPr="00BD151C">
        <w:rPr>
          <w:rFonts w:cstheme="minorHAnsi"/>
        </w:rPr>
        <w:t>K</w:t>
      </w:r>
      <w:r w:rsidR="00C37F6D" w:rsidRPr="00BD151C">
        <w:rPr>
          <w:rFonts w:cstheme="minorHAnsi"/>
        </w:rPr>
        <w:t xml:space="preserve">rónikus </w:t>
      </w:r>
      <w:r w:rsidR="0DEF3884" w:rsidRPr="00BD151C">
        <w:rPr>
          <w:rFonts w:cstheme="minorHAnsi"/>
        </w:rPr>
        <w:t xml:space="preserve">neuroimmunológiai </w:t>
      </w:r>
      <w:r w:rsidR="00C37F6D" w:rsidRPr="00BD151C">
        <w:rPr>
          <w:rFonts w:cstheme="minorHAnsi"/>
        </w:rPr>
        <w:t>betegség</w:t>
      </w:r>
      <w:r w:rsidR="00A256AC" w:rsidRPr="00BD151C">
        <w:rPr>
          <w:rFonts w:cstheme="minorHAnsi"/>
        </w:rPr>
        <w:t xml:space="preserve"> miatt alkalmazott</w:t>
      </w:r>
      <w:r w:rsidR="3DC7794B" w:rsidRPr="00BD151C">
        <w:rPr>
          <w:rFonts w:cstheme="minorHAnsi"/>
        </w:rPr>
        <w:t xml:space="preserve"> immunszuppresszív </w:t>
      </w:r>
      <w:r w:rsidR="19917E3C" w:rsidRPr="00BD151C">
        <w:rPr>
          <w:rFonts w:cstheme="minorHAnsi"/>
        </w:rPr>
        <w:t>kezelés mellett</w:t>
      </w:r>
      <w:r w:rsidR="73FE53DE" w:rsidRPr="00BD151C">
        <w:rPr>
          <w:rFonts w:cstheme="minorHAnsi"/>
        </w:rPr>
        <w:t xml:space="preserve"> </w:t>
      </w:r>
      <w:r w:rsidR="00C37F6D" w:rsidRPr="00BD151C">
        <w:rPr>
          <w:rFonts w:cstheme="minorHAnsi"/>
        </w:rPr>
        <w:t>a súlyos COVID-19 kialakulásának kockázata</w:t>
      </w:r>
      <w:r w:rsidR="4CDFFCCB" w:rsidRPr="00BD151C">
        <w:rPr>
          <w:rFonts w:cstheme="minorHAnsi"/>
        </w:rPr>
        <w:t xml:space="preserve"> </w:t>
      </w:r>
      <w:r w:rsidR="00A23A7A" w:rsidRPr="00BD151C">
        <w:rPr>
          <w:rFonts w:cstheme="minorHAnsi"/>
        </w:rPr>
        <w:t xml:space="preserve">potenciálisan </w:t>
      </w:r>
      <w:r w:rsidR="4CDFFCCB" w:rsidRPr="00BD151C">
        <w:rPr>
          <w:rFonts w:cstheme="minorHAnsi"/>
        </w:rPr>
        <w:t>magasabb</w:t>
      </w:r>
      <w:r w:rsidR="00437AE3" w:rsidRPr="00BD151C">
        <w:rPr>
          <w:rFonts w:cstheme="minorHAnsi"/>
        </w:rPr>
        <w:t xml:space="preserve"> (bár az irodalomban eddig megjelent adatok ezt nem erősítik meg)</w:t>
      </w:r>
      <w:r w:rsidR="00C213E9" w:rsidRPr="00BD151C">
        <w:rPr>
          <w:rFonts w:cstheme="minorHAnsi"/>
        </w:rPr>
        <w:t xml:space="preserve">, </w:t>
      </w:r>
      <w:r w:rsidR="00AD6C69" w:rsidRPr="00BD151C">
        <w:rPr>
          <w:rFonts w:cstheme="minorHAnsi"/>
        </w:rPr>
        <w:t>a COVID-19 fertőzés pedig a krónikus alapbetegség progressziójához vezethet</w:t>
      </w:r>
      <w:r w:rsidR="000C515D" w:rsidRPr="00BD151C">
        <w:rPr>
          <w:rFonts w:cstheme="minorHAnsi"/>
        </w:rPr>
        <w:t>, ezért megelőzése fontos</w:t>
      </w:r>
      <w:r w:rsidR="00C37F6D" w:rsidRPr="00BD151C">
        <w:rPr>
          <w:rFonts w:cstheme="minorHAnsi"/>
        </w:rPr>
        <w:t>.</w:t>
      </w:r>
    </w:p>
    <w:p w14:paraId="33BDF951" w14:textId="5433C0FE" w:rsidR="00762CB8" w:rsidRPr="00BD151C" w:rsidRDefault="00762CB8" w:rsidP="005828D7">
      <w:pPr>
        <w:spacing w:line="240" w:lineRule="auto"/>
        <w:jc w:val="both"/>
        <w:rPr>
          <w:rFonts w:cstheme="minorHAnsi"/>
        </w:rPr>
      </w:pPr>
      <w:r w:rsidRPr="00BD151C">
        <w:rPr>
          <w:rFonts w:cstheme="minorHAnsi"/>
        </w:rPr>
        <w:t>A COVID-19 elkerülésének legbiztonságosabb</w:t>
      </w:r>
      <w:r w:rsidR="000C515D" w:rsidRPr="00BD151C">
        <w:rPr>
          <w:rFonts w:cstheme="minorHAnsi"/>
        </w:rPr>
        <w:t xml:space="preserve"> és</w:t>
      </w:r>
      <w:r w:rsidRPr="00BD151C">
        <w:rPr>
          <w:rFonts w:cstheme="minorHAnsi"/>
        </w:rPr>
        <w:t xml:space="preserve"> legköltséghatékonyabb módszere a vakcináció. </w:t>
      </w:r>
    </w:p>
    <w:p w14:paraId="0B90659A" w14:textId="77777777" w:rsidR="00A400AE" w:rsidRDefault="00C37F6D" w:rsidP="005828D7">
      <w:pPr>
        <w:spacing w:line="240" w:lineRule="auto"/>
        <w:jc w:val="both"/>
        <w:rPr>
          <w:rFonts w:cstheme="minorHAnsi"/>
        </w:rPr>
      </w:pPr>
      <w:r w:rsidRPr="00BD151C">
        <w:rPr>
          <w:rFonts w:cstheme="minorHAnsi"/>
        </w:rPr>
        <w:t xml:space="preserve">A COVID-19 vakcina beadása </w:t>
      </w:r>
      <w:r w:rsidR="0062204B" w:rsidRPr="00BD151C">
        <w:rPr>
          <w:rFonts w:cstheme="minorHAnsi"/>
        </w:rPr>
        <w:t xml:space="preserve">így </w:t>
      </w:r>
      <w:r w:rsidRPr="00BD151C">
        <w:rPr>
          <w:rFonts w:cstheme="minorHAnsi"/>
        </w:rPr>
        <w:t>kiemelt jelentőségű a krónikus betegek számára.</w:t>
      </w:r>
    </w:p>
    <w:p w14:paraId="0AABEDFC" w14:textId="66A3F578" w:rsidR="009B36AA" w:rsidRDefault="00C37F6D" w:rsidP="005828D7">
      <w:pPr>
        <w:spacing w:line="240" w:lineRule="auto"/>
        <w:jc w:val="both"/>
        <w:rPr>
          <w:rFonts w:cstheme="minorHAnsi"/>
        </w:rPr>
      </w:pPr>
      <w:r w:rsidRPr="00BD151C">
        <w:rPr>
          <w:rFonts w:cstheme="minorHAnsi"/>
        </w:rPr>
        <w:t xml:space="preserve">A </w:t>
      </w:r>
      <w:r w:rsidR="005759DC" w:rsidRPr="00BD151C">
        <w:rPr>
          <w:rFonts w:cstheme="minorHAnsi"/>
        </w:rPr>
        <w:t xml:space="preserve">vakcina </w:t>
      </w:r>
      <w:r w:rsidR="607DFEC2" w:rsidRPr="00BD151C">
        <w:rPr>
          <w:rFonts w:cstheme="minorHAnsi"/>
        </w:rPr>
        <w:t xml:space="preserve">alkalmazásának </w:t>
      </w:r>
      <w:r w:rsidR="005759DC" w:rsidRPr="00BD151C">
        <w:rPr>
          <w:rFonts w:cstheme="minorHAnsi"/>
        </w:rPr>
        <w:t>egyetlen egyértelmű kontraindikációja</w:t>
      </w:r>
      <w:r w:rsidR="00652A6E" w:rsidRPr="00BD151C">
        <w:rPr>
          <w:rFonts w:cstheme="minorHAnsi"/>
        </w:rPr>
        <w:t xml:space="preserve"> </w:t>
      </w:r>
      <w:r w:rsidR="00A256AC" w:rsidRPr="00BD151C">
        <w:rPr>
          <w:rFonts w:cstheme="minorHAnsi"/>
        </w:rPr>
        <w:t>egy korábbi</w:t>
      </w:r>
      <w:r w:rsidR="00652A6E" w:rsidRPr="00BD151C">
        <w:rPr>
          <w:rFonts w:cstheme="minorHAnsi"/>
        </w:rPr>
        <w:t xml:space="preserve"> súlyos allergiás reakció a vakcina valamely alkotórészével szemben. </w:t>
      </w:r>
      <w:r w:rsidR="000C515D" w:rsidRPr="00BD151C">
        <w:rPr>
          <w:rFonts w:cstheme="minorHAnsi"/>
        </w:rPr>
        <w:t>Ezért</w:t>
      </w:r>
      <w:r w:rsidR="00A256AC" w:rsidRPr="00BD151C">
        <w:rPr>
          <w:rFonts w:cstheme="minorHAnsi"/>
        </w:rPr>
        <w:t xml:space="preserve"> </w:t>
      </w:r>
      <w:r w:rsidR="008F66B9" w:rsidRPr="00BD151C">
        <w:rPr>
          <w:rFonts w:cstheme="minorHAnsi"/>
        </w:rPr>
        <w:t xml:space="preserve">bármilyen </w:t>
      </w:r>
      <w:r w:rsidR="00A256AC" w:rsidRPr="00BD151C">
        <w:rPr>
          <w:rFonts w:cstheme="minorHAnsi"/>
        </w:rPr>
        <w:t xml:space="preserve">korábbi </w:t>
      </w:r>
      <w:r w:rsidR="00652A6E" w:rsidRPr="00BD151C">
        <w:rPr>
          <w:rFonts w:cstheme="minorHAnsi"/>
        </w:rPr>
        <w:t xml:space="preserve">allergiás reakció esetén </w:t>
      </w:r>
      <w:r w:rsidR="00A73874" w:rsidRPr="00BD151C">
        <w:rPr>
          <w:rFonts w:cstheme="minorHAnsi"/>
        </w:rPr>
        <w:t xml:space="preserve">célszerű </w:t>
      </w:r>
      <w:r w:rsidR="7C3A3921" w:rsidRPr="00BD151C">
        <w:rPr>
          <w:rFonts w:cstheme="minorHAnsi"/>
        </w:rPr>
        <w:t xml:space="preserve">a beteget </w:t>
      </w:r>
      <w:r w:rsidR="00A73874" w:rsidRPr="00BD151C">
        <w:rPr>
          <w:rFonts w:cstheme="minorHAnsi"/>
        </w:rPr>
        <w:t xml:space="preserve">nagy tapasztalattal rendelkező oltóközpontba irányítani annak eldöntésére, </w:t>
      </w:r>
      <w:r w:rsidR="00CE6B12" w:rsidRPr="00BD151C">
        <w:rPr>
          <w:rFonts w:cstheme="minorHAnsi"/>
        </w:rPr>
        <w:t>hogy beadható-e a</w:t>
      </w:r>
      <w:r w:rsidR="003D1803" w:rsidRPr="00BD151C">
        <w:rPr>
          <w:rFonts w:cstheme="minorHAnsi"/>
        </w:rPr>
        <w:t xml:space="preserve"> COVID-19</w:t>
      </w:r>
      <w:r w:rsidR="009E7643" w:rsidRPr="00BD151C">
        <w:rPr>
          <w:rFonts w:cstheme="minorHAnsi"/>
        </w:rPr>
        <w:t xml:space="preserve"> </w:t>
      </w:r>
      <w:r w:rsidR="005C013C" w:rsidRPr="00BD151C">
        <w:rPr>
          <w:rFonts w:cstheme="minorHAnsi"/>
        </w:rPr>
        <w:t xml:space="preserve">elleni </w:t>
      </w:r>
      <w:r w:rsidR="00CE6B12" w:rsidRPr="00BD151C">
        <w:rPr>
          <w:rFonts w:cstheme="minorHAnsi"/>
        </w:rPr>
        <w:t>védőoltás</w:t>
      </w:r>
      <w:r w:rsidRPr="00BD151C">
        <w:rPr>
          <w:rFonts w:cstheme="minorHAnsi"/>
        </w:rPr>
        <w:t>.</w:t>
      </w:r>
    </w:p>
    <w:p w14:paraId="3B0CEA38" w14:textId="3ECB1107" w:rsidR="008A34B1" w:rsidRPr="00BD151C" w:rsidRDefault="008A34B1" w:rsidP="005828D7">
      <w:pPr>
        <w:spacing w:line="240" w:lineRule="auto"/>
        <w:jc w:val="both"/>
        <w:rPr>
          <w:rFonts w:cstheme="minorHAnsi"/>
        </w:rPr>
      </w:pPr>
      <w:r w:rsidRPr="005E2939">
        <w:rPr>
          <w:rFonts w:cstheme="minorHAnsi"/>
        </w:rPr>
        <w:t>A védőoltás megfelelő idő eltelte után a COVID-19 betegségen átesetteknek is javasolt.</w:t>
      </w:r>
    </w:p>
    <w:p w14:paraId="76737E3E" w14:textId="77777777" w:rsidR="00DA0E4F" w:rsidRPr="00BD151C" w:rsidRDefault="00DA0E4F" w:rsidP="005828D7">
      <w:pPr>
        <w:spacing w:line="240" w:lineRule="auto"/>
        <w:jc w:val="both"/>
        <w:rPr>
          <w:rFonts w:cstheme="minorHAnsi"/>
        </w:rPr>
      </w:pPr>
    </w:p>
    <w:p w14:paraId="2AB6F43E" w14:textId="47BF0B68" w:rsidR="00AE5489" w:rsidRPr="00BD151C" w:rsidRDefault="00A256AC" w:rsidP="005828D7">
      <w:pPr>
        <w:spacing w:line="240" w:lineRule="auto"/>
        <w:jc w:val="both"/>
        <w:rPr>
          <w:rFonts w:cstheme="minorHAnsi"/>
        </w:rPr>
      </w:pPr>
      <w:r w:rsidRPr="00BD151C">
        <w:rPr>
          <w:rFonts w:cstheme="minorHAnsi"/>
        </w:rPr>
        <w:t xml:space="preserve">A vakcina által elindított potens immunválasz gátolja a betegség kialakulását fertőzést követően, ezáltal megvédi a beoltott személyt. </w:t>
      </w:r>
      <w:r w:rsidR="009B36AA" w:rsidRPr="00BD151C">
        <w:rPr>
          <w:rFonts w:cstheme="minorHAnsi"/>
        </w:rPr>
        <w:t>Elméletileg elképzelhető, hogy a</w:t>
      </w:r>
      <w:r w:rsidRPr="00BD151C">
        <w:rPr>
          <w:rFonts w:cstheme="minorHAnsi"/>
        </w:rPr>
        <w:t xml:space="preserve"> tünetmentes, védett egyén hordozza és terjeszti a vírust mindaddig, amíg azt a felkészült immunrendszere meg nem semmisíti. </w:t>
      </w:r>
      <w:r w:rsidR="009B36AA" w:rsidRPr="00BD151C">
        <w:rPr>
          <w:rFonts w:cstheme="minorHAnsi"/>
        </w:rPr>
        <w:t>Ezért a vakcinálás után</w:t>
      </w:r>
      <w:r w:rsidRPr="00BD151C">
        <w:rPr>
          <w:rFonts w:cstheme="minorHAnsi"/>
        </w:rPr>
        <w:t xml:space="preserve"> is fontos a </w:t>
      </w:r>
      <w:r w:rsidR="009B36AA" w:rsidRPr="00BD151C">
        <w:rPr>
          <w:rFonts w:cstheme="minorHAnsi"/>
        </w:rPr>
        <w:t xml:space="preserve">korlátozások betartása </w:t>
      </w:r>
      <w:r w:rsidR="009B36AA" w:rsidRPr="00BD151C">
        <w:rPr>
          <w:rFonts w:cstheme="minorHAnsi"/>
          <w:i/>
          <w:iCs/>
        </w:rPr>
        <w:t>a nem vakcinált közösség védelme</w:t>
      </w:r>
      <w:r w:rsidR="009B36AA" w:rsidRPr="00BD151C">
        <w:rPr>
          <w:rFonts w:cstheme="minorHAnsi"/>
        </w:rPr>
        <w:t xml:space="preserve"> </w:t>
      </w:r>
      <w:r w:rsidRPr="00BD151C">
        <w:rPr>
          <w:rFonts w:cstheme="minorHAnsi"/>
        </w:rPr>
        <w:t>érdekében.</w:t>
      </w:r>
    </w:p>
    <w:p w14:paraId="07256A6E" w14:textId="77777777" w:rsidR="00DA0E4F" w:rsidRPr="00BD151C" w:rsidRDefault="00DA0E4F" w:rsidP="005828D7">
      <w:pPr>
        <w:spacing w:line="240" w:lineRule="auto"/>
        <w:jc w:val="both"/>
        <w:rPr>
          <w:rFonts w:cstheme="minorHAnsi"/>
        </w:rPr>
      </w:pPr>
    </w:p>
    <w:p w14:paraId="2C2A293C" w14:textId="15779D6B" w:rsidR="00891EAE" w:rsidRPr="00CE2AEB" w:rsidRDefault="00801899" w:rsidP="005828D7">
      <w:pPr>
        <w:spacing w:line="240" w:lineRule="auto"/>
        <w:jc w:val="both"/>
        <w:rPr>
          <w:rFonts w:cstheme="minorHAnsi"/>
        </w:rPr>
      </w:pPr>
      <w:r w:rsidRPr="005E2939">
        <w:rPr>
          <w:rFonts w:cstheme="minorHAnsi"/>
        </w:rPr>
        <w:t>A</w:t>
      </w:r>
      <w:r w:rsidR="00D434FA" w:rsidRPr="005E2939">
        <w:rPr>
          <w:rFonts w:cstheme="minorHAnsi"/>
        </w:rPr>
        <w:t xml:space="preserve"> </w:t>
      </w:r>
      <w:r w:rsidRPr="005E2939">
        <w:rPr>
          <w:rFonts w:cstheme="minorHAnsi"/>
        </w:rPr>
        <w:t>COVID-19 fertőzés megelőzésére</w:t>
      </w:r>
      <w:r w:rsidR="6F438DF7" w:rsidRPr="005E2939">
        <w:rPr>
          <w:rFonts w:cstheme="minorHAnsi"/>
        </w:rPr>
        <w:t xml:space="preserve"> </w:t>
      </w:r>
      <w:r w:rsidR="00372966" w:rsidRPr="005E2939">
        <w:rPr>
          <w:rFonts w:cstheme="minorHAnsi"/>
        </w:rPr>
        <w:t xml:space="preserve">– a </w:t>
      </w:r>
      <w:r w:rsidR="010E9251" w:rsidRPr="005E2939">
        <w:rPr>
          <w:rFonts w:cstheme="minorHAnsi"/>
        </w:rPr>
        <w:t>j</w:t>
      </w:r>
      <w:r w:rsidR="6F438DF7" w:rsidRPr="005E2939">
        <w:rPr>
          <w:rFonts w:cstheme="minorHAnsi"/>
        </w:rPr>
        <w:t>elen</w:t>
      </w:r>
      <w:r w:rsidRPr="005E2939">
        <w:rPr>
          <w:rFonts w:cstheme="minorHAnsi"/>
        </w:rPr>
        <w:t xml:space="preserve"> ajánlás készítésének </w:t>
      </w:r>
      <w:r w:rsidR="00427777" w:rsidRPr="005E2939">
        <w:rPr>
          <w:rFonts w:cstheme="minorHAnsi"/>
        </w:rPr>
        <w:t>i</w:t>
      </w:r>
      <w:r w:rsidRPr="005E2939">
        <w:rPr>
          <w:rFonts w:cstheme="minorHAnsi"/>
        </w:rPr>
        <w:t>dőpontjá</w:t>
      </w:r>
      <w:r w:rsidR="00372966" w:rsidRPr="005E2939">
        <w:rPr>
          <w:rFonts w:cstheme="minorHAnsi"/>
        </w:rPr>
        <w:t xml:space="preserve">ig – két </w:t>
      </w:r>
      <w:r w:rsidRPr="005E2939">
        <w:rPr>
          <w:rFonts w:cstheme="minorHAnsi"/>
        </w:rPr>
        <w:t>mRNS</w:t>
      </w:r>
      <w:r w:rsidR="00D434FA" w:rsidRPr="005E2939">
        <w:rPr>
          <w:rFonts w:cstheme="minorHAnsi"/>
        </w:rPr>
        <w:t xml:space="preserve"> </w:t>
      </w:r>
      <w:r w:rsidRPr="005E2939">
        <w:rPr>
          <w:rFonts w:cstheme="minorHAnsi"/>
        </w:rPr>
        <w:t>vakcina</w:t>
      </w:r>
      <w:r w:rsidR="00D434FA" w:rsidRPr="005E2939">
        <w:rPr>
          <w:rFonts w:cstheme="minorHAnsi"/>
        </w:rPr>
        <w:t xml:space="preserve"> </w:t>
      </w:r>
      <w:r w:rsidRPr="005E2939">
        <w:rPr>
          <w:rFonts w:cstheme="minorHAnsi"/>
        </w:rPr>
        <w:t>(</w:t>
      </w:r>
      <w:r w:rsidR="002A00E6" w:rsidRPr="005E2939">
        <w:rPr>
          <w:rFonts w:cstheme="minorHAnsi"/>
          <w:b/>
          <w:bCs/>
        </w:rPr>
        <w:t>Comirnaty</w:t>
      </w:r>
      <w:r w:rsidR="0014073D" w:rsidRPr="005E2939">
        <w:rPr>
          <w:rFonts w:cstheme="minorHAnsi"/>
          <w:b/>
          <w:bCs/>
        </w:rPr>
        <w:t>-</w:t>
      </w:r>
      <w:r w:rsidRPr="005E2939">
        <w:rPr>
          <w:rFonts w:cstheme="minorHAnsi"/>
          <w:b/>
          <w:bCs/>
        </w:rPr>
        <w:t>Pfizer</w:t>
      </w:r>
      <w:r w:rsidR="00550A12" w:rsidRPr="005E2939">
        <w:rPr>
          <w:rFonts w:cstheme="minorHAnsi"/>
          <w:b/>
          <w:bCs/>
        </w:rPr>
        <w:t>-</w:t>
      </w:r>
      <w:r w:rsidRPr="005E2939">
        <w:rPr>
          <w:rFonts w:cstheme="minorHAnsi"/>
          <w:b/>
          <w:bCs/>
        </w:rPr>
        <w:t>BioNTech;</w:t>
      </w:r>
      <w:r w:rsidR="00D434FA" w:rsidRPr="005E2939">
        <w:rPr>
          <w:rFonts w:cstheme="minorHAnsi"/>
          <w:b/>
          <w:bCs/>
        </w:rPr>
        <w:t xml:space="preserve"> </w:t>
      </w:r>
      <w:r w:rsidR="000C7C8A" w:rsidRPr="005E2939">
        <w:rPr>
          <w:rFonts w:cstheme="minorHAnsi"/>
          <w:b/>
          <w:bCs/>
        </w:rPr>
        <w:t>Covid-19 Vakcina</w:t>
      </w:r>
      <w:r w:rsidR="00D434FA" w:rsidRPr="005E2939">
        <w:rPr>
          <w:rFonts w:cstheme="minorHAnsi"/>
          <w:b/>
          <w:bCs/>
        </w:rPr>
        <w:t xml:space="preserve"> </w:t>
      </w:r>
      <w:r w:rsidRPr="005E2939">
        <w:rPr>
          <w:rFonts w:cstheme="minorHAnsi"/>
          <w:b/>
          <w:bCs/>
        </w:rPr>
        <w:t>Moderna)</w:t>
      </w:r>
      <w:r w:rsidR="002A00E6" w:rsidRPr="005E2939">
        <w:rPr>
          <w:rFonts w:cstheme="minorHAnsi"/>
        </w:rPr>
        <w:t xml:space="preserve">, és </w:t>
      </w:r>
      <w:r w:rsidR="003444AC" w:rsidRPr="005E2939">
        <w:rPr>
          <w:rFonts w:cstheme="minorHAnsi"/>
        </w:rPr>
        <w:t>két</w:t>
      </w:r>
      <w:r w:rsidR="002A00E6" w:rsidRPr="005E2939">
        <w:rPr>
          <w:rFonts w:cstheme="minorHAnsi"/>
        </w:rPr>
        <w:t xml:space="preserve"> virális vektorvakcina (</w:t>
      </w:r>
      <w:r w:rsidR="003444AC" w:rsidRPr="005E2939">
        <w:rPr>
          <w:rFonts w:cstheme="minorHAnsi"/>
          <w:b/>
          <w:bCs/>
        </w:rPr>
        <w:t>Vaxzev</w:t>
      </w:r>
      <w:r w:rsidR="00766F60" w:rsidRPr="005E2939">
        <w:rPr>
          <w:rFonts w:cstheme="minorHAnsi"/>
          <w:b/>
          <w:bCs/>
        </w:rPr>
        <w:t>ri</w:t>
      </w:r>
      <w:r w:rsidR="003444AC" w:rsidRPr="005E2939">
        <w:rPr>
          <w:rFonts w:cstheme="minorHAnsi"/>
          <w:b/>
          <w:bCs/>
        </w:rPr>
        <w:t>a</w:t>
      </w:r>
      <w:r w:rsidR="0014073D" w:rsidRPr="005E2939">
        <w:rPr>
          <w:rFonts w:cstheme="minorHAnsi"/>
          <w:b/>
          <w:bCs/>
        </w:rPr>
        <w:t>;</w:t>
      </w:r>
      <w:r w:rsidR="00B40250" w:rsidRPr="005E2939">
        <w:rPr>
          <w:rFonts w:cstheme="minorHAnsi"/>
          <w:b/>
          <w:bCs/>
        </w:rPr>
        <w:t xml:space="preserve"> COVID-19 Vakcina Janssen</w:t>
      </w:r>
      <w:r w:rsidR="002A00E6" w:rsidRPr="005E2939">
        <w:rPr>
          <w:rFonts w:cstheme="minorHAnsi"/>
        </w:rPr>
        <w:t xml:space="preserve">) </w:t>
      </w:r>
      <w:r w:rsidRPr="005E2939">
        <w:rPr>
          <w:rFonts w:cstheme="minorHAnsi"/>
        </w:rPr>
        <w:t>forgalomba hozatalát</w:t>
      </w:r>
      <w:r w:rsidR="00D434FA" w:rsidRPr="005E2939">
        <w:rPr>
          <w:rFonts w:cstheme="minorHAnsi"/>
        </w:rPr>
        <w:t xml:space="preserve"> </w:t>
      </w:r>
      <w:r w:rsidR="00372966" w:rsidRPr="005E2939">
        <w:rPr>
          <w:rFonts w:cstheme="minorHAnsi"/>
        </w:rPr>
        <w:t xml:space="preserve">engedélyezte </w:t>
      </w:r>
      <w:r w:rsidRPr="005E2939">
        <w:rPr>
          <w:rFonts w:cstheme="minorHAnsi"/>
        </w:rPr>
        <w:t>a European</w:t>
      </w:r>
      <w:r w:rsidR="00D434FA" w:rsidRPr="005E2939">
        <w:rPr>
          <w:rFonts w:cstheme="minorHAnsi"/>
        </w:rPr>
        <w:t xml:space="preserve"> </w:t>
      </w:r>
      <w:r w:rsidRPr="005E2939">
        <w:rPr>
          <w:rFonts w:cstheme="minorHAnsi"/>
        </w:rPr>
        <w:t>Medi</w:t>
      </w:r>
      <w:r w:rsidR="697FF042" w:rsidRPr="005E2939">
        <w:rPr>
          <w:rFonts w:cstheme="minorHAnsi"/>
        </w:rPr>
        <w:t>cines</w:t>
      </w:r>
      <w:r w:rsidR="00D434FA" w:rsidRPr="005E2939">
        <w:rPr>
          <w:rFonts w:cstheme="minorHAnsi"/>
        </w:rPr>
        <w:t xml:space="preserve"> </w:t>
      </w:r>
      <w:r w:rsidRPr="005E2939">
        <w:rPr>
          <w:rFonts w:cstheme="minorHAnsi"/>
        </w:rPr>
        <w:t>Agency</w:t>
      </w:r>
      <w:r w:rsidR="00D434FA" w:rsidRPr="005E2939">
        <w:rPr>
          <w:rFonts w:cstheme="minorHAnsi"/>
        </w:rPr>
        <w:t xml:space="preserve"> </w:t>
      </w:r>
      <w:r w:rsidRPr="005E2939">
        <w:rPr>
          <w:rFonts w:cstheme="minorHAnsi"/>
        </w:rPr>
        <w:t>(EMA)</w:t>
      </w:r>
      <w:r w:rsidR="00372966" w:rsidRPr="005E2939">
        <w:rPr>
          <w:rFonts w:cstheme="minorHAnsi"/>
        </w:rPr>
        <w:t xml:space="preserve">. </w:t>
      </w:r>
      <w:r w:rsidR="000C7C8A" w:rsidRPr="005E2939">
        <w:rPr>
          <w:rFonts w:cstheme="minorHAnsi"/>
        </w:rPr>
        <w:t xml:space="preserve">Magyarországon az Országos Gyógyszerészeti és Élelmezés-egészségügyi Intézet (OGYÉI) </w:t>
      </w:r>
      <w:r w:rsidR="00B40250" w:rsidRPr="005E2939">
        <w:rPr>
          <w:rFonts w:cstheme="minorHAnsi"/>
        </w:rPr>
        <w:t xml:space="preserve">a </w:t>
      </w:r>
      <w:r w:rsidR="003444AC" w:rsidRPr="005E2939">
        <w:rPr>
          <w:rFonts w:cstheme="minorHAnsi"/>
        </w:rPr>
        <w:t xml:space="preserve">Comirnaty </w:t>
      </w:r>
      <w:r w:rsidR="00B40250" w:rsidRPr="005E2939">
        <w:rPr>
          <w:rFonts w:cstheme="minorHAnsi"/>
        </w:rPr>
        <w:t>Pfizer-Biontech, a Moderna, a</w:t>
      </w:r>
      <w:r w:rsidR="003444AC" w:rsidRPr="005E2939">
        <w:rPr>
          <w:rFonts w:cstheme="minorHAnsi"/>
        </w:rPr>
        <w:t xml:space="preserve"> Vaxzev</w:t>
      </w:r>
      <w:r w:rsidR="00766F60" w:rsidRPr="005E2939">
        <w:rPr>
          <w:rFonts w:cstheme="minorHAnsi"/>
        </w:rPr>
        <w:t>ri</w:t>
      </w:r>
      <w:r w:rsidR="003444AC" w:rsidRPr="005E2939">
        <w:rPr>
          <w:rFonts w:cstheme="minorHAnsi"/>
        </w:rPr>
        <w:t>a, és a Janssen-v</w:t>
      </w:r>
      <w:r w:rsidR="00B40250" w:rsidRPr="005E2939">
        <w:rPr>
          <w:rFonts w:cstheme="minorHAnsi"/>
        </w:rPr>
        <w:t>akcin</w:t>
      </w:r>
      <w:r w:rsidR="003444AC" w:rsidRPr="005E2939">
        <w:rPr>
          <w:rFonts w:cstheme="minorHAnsi"/>
        </w:rPr>
        <w:t>a</w:t>
      </w:r>
      <w:r w:rsidR="00B40250" w:rsidRPr="005E2939">
        <w:rPr>
          <w:rFonts w:cstheme="minorHAnsi"/>
        </w:rPr>
        <w:t xml:space="preserve"> mellett </w:t>
      </w:r>
      <w:r w:rsidR="000C7C8A" w:rsidRPr="005E2939">
        <w:rPr>
          <w:rFonts w:cstheme="minorHAnsi"/>
        </w:rPr>
        <w:t xml:space="preserve">ideiglenes gyógyszeralkalmazási engedélyt adott ki az orosz </w:t>
      </w:r>
      <w:r w:rsidR="000C7C8A" w:rsidRPr="005E2939">
        <w:rPr>
          <w:rFonts w:cstheme="minorHAnsi"/>
          <w:b/>
          <w:bCs/>
        </w:rPr>
        <w:t>Gam-COVID-V</w:t>
      </w:r>
      <w:r w:rsidR="00404C6E" w:rsidRPr="005E2939">
        <w:rPr>
          <w:rFonts w:cstheme="minorHAnsi"/>
          <w:b/>
          <w:bCs/>
        </w:rPr>
        <w:t>ac</w:t>
      </w:r>
      <w:r w:rsidR="002C257A" w:rsidRPr="005E2939">
        <w:rPr>
          <w:rFonts w:cstheme="minorHAnsi"/>
          <w:b/>
          <w:bCs/>
        </w:rPr>
        <w:t xml:space="preserve"> (Sputn</w:t>
      </w:r>
      <w:r w:rsidR="00503133" w:rsidRPr="005E2939">
        <w:rPr>
          <w:rFonts w:cstheme="minorHAnsi"/>
          <w:b/>
          <w:bCs/>
        </w:rPr>
        <w:t>y</w:t>
      </w:r>
      <w:r w:rsidR="002C257A" w:rsidRPr="005E2939">
        <w:rPr>
          <w:rFonts w:cstheme="minorHAnsi"/>
          <w:b/>
          <w:bCs/>
        </w:rPr>
        <w:t>ik V</w:t>
      </w:r>
      <w:r w:rsidR="000C7C8A" w:rsidRPr="005E2939">
        <w:rPr>
          <w:rFonts w:cstheme="minorHAnsi"/>
          <w:b/>
          <w:bCs/>
        </w:rPr>
        <w:t>)</w:t>
      </w:r>
      <w:r w:rsidR="000C7C8A" w:rsidRPr="005E2939">
        <w:rPr>
          <w:rFonts w:cstheme="minorHAnsi"/>
        </w:rPr>
        <w:t xml:space="preserve"> </w:t>
      </w:r>
      <w:r w:rsidR="00891EAE" w:rsidRPr="005E2939">
        <w:rPr>
          <w:rFonts w:cstheme="minorHAnsi"/>
        </w:rPr>
        <w:t xml:space="preserve">virális vektorvakcinára, és </w:t>
      </w:r>
      <w:r w:rsidR="00A400AE" w:rsidRPr="005E2939">
        <w:rPr>
          <w:rFonts w:cstheme="minorHAnsi"/>
        </w:rPr>
        <w:t xml:space="preserve">az inaktivált vírust tartalmazó kínai </w:t>
      </w:r>
      <w:r w:rsidR="00A400AE" w:rsidRPr="005E2939">
        <w:rPr>
          <w:rFonts w:cstheme="minorHAnsi"/>
          <w:b/>
          <w:bCs/>
        </w:rPr>
        <w:t>Sinopharm vakcinára</w:t>
      </w:r>
      <w:r w:rsidR="00766F60" w:rsidRPr="005E2939">
        <w:rPr>
          <w:rFonts w:cstheme="minorHAnsi"/>
        </w:rPr>
        <w:t>. A</w:t>
      </w:r>
      <w:r w:rsidR="00891EAE" w:rsidRPr="005E2939">
        <w:rPr>
          <w:rFonts w:cstheme="minorHAnsi"/>
        </w:rPr>
        <w:t xml:space="preserve">z </w:t>
      </w:r>
      <w:r w:rsidR="000C7C8A" w:rsidRPr="005E2939">
        <w:rPr>
          <w:rFonts w:cstheme="minorHAnsi"/>
        </w:rPr>
        <w:t>oltóanyag</w:t>
      </w:r>
      <w:r w:rsidR="003558DC" w:rsidRPr="005E2939">
        <w:rPr>
          <w:rFonts w:cstheme="minorHAnsi"/>
        </w:rPr>
        <w:t xml:space="preserve"> alkalmazásához</w:t>
      </w:r>
      <w:r w:rsidR="00A350C0" w:rsidRPr="005E2939">
        <w:rPr>
          <w:rFonts w:cstheme="minorHAnsi"/>
        </w:rPr>
        <w:t xml:space="preserve"> </w:t>
      </w:r>
      <w:r w:rsidR="003558DC" w:rsidRPr="005E2939">
        <w:rPr>
          <w:rFonts w:cstheme="minorHAnsi"/>
        </w:rPr>
        <w:t>iránymutatást adó leírást bocsátott ki.</w:t>
      </w:r>
    </w:p>
    <w:p w14:paraId="27C5A5C7" w14:textId="77777777" w:rsidR="005A3600" w:rsidRDefault="257F38AE" w:rsidP="005828D7">
      <w:pPr>
        <w:spacing w:line="240" w:lineRule="auto"/>
        <w:jc w:val="both"/>
        <w:rPr>
          <w:rFonts w:cstheme="minorHAnsi"/>
        </w:rPr>
      </w:pPr>
      <w:r w:rsidRPr="00CE2AEB">
        <w:rPr>
          <w:rFonts w:cstheme="minorHAnsi"/>
        </w:rPr>
        <w:t>Számos</w:t>
      </w:r>
      <w:r w:rsidR="00D434FA" w:rsidRPr="00CE2AEB">
        <w:rPr>
          <w:rFonts w:cstheme="minorHAnsi"/>
        </w:rPr>
        <w:t xml:space="preserve"> </w:t>
      </w:r>
      <w:r w:rsidRPr="00CE2AEB">
        <w:rPr>
          <w:rFonts w:cstheme="minorHAnsi"/>
        </w:rPr>
        <w:t>további vakcin</w:t>
      </w:r>
      <w:r w:rsidR="00372966" w:rsidRPr="00CE2AEB">
        <w:rPr>
          <w:rFonts w:cstheme="minorHAnsi"/>
        </w:rPr>
        <w:t>a</w:t>
      </w:r>
      <w:r w:rsidR="63324ACD" w:rsidRPr="00CE2AEB">
        <w:rPr>
          <w:rFonts w:cstheme="minorHAnsi"/>
        </w:rPr>
        <w:t xml:space="preserve"> </w:t>
      </w:r>
      <w:r w:rsidRPr="00CE2AEB">
        <w:rPr>
          <w:rFonts w:cstheme="minorHAnsi"/>
        </w:rPr>
        <w:t>fejleszt</w:t>
      </w:r>
      <w:r w:rsidR="00372966" w:rsidRPr="00CE2AEB">
        <w:rPr>
          <w:rFonts w:cstheme="minorHAnsi"/>
        </w:rPr>
        <w:t xml:space="preserve">ése </w:t>
      </w:r>
      <w:r w:rsidR="00891EAE" w:rsidRPr="00CE2AEB">
        <w:rPr>
          <w:rFonts w:cstheme="minorHAnsi"/>
        </w:rPr>
        <w:t xml:space="preserve">tart </w:t>
      </w:r>
      <w:r w:rsidR="00372966" w:rsidRPr="00CE2AEB">
        <w:rPr>
          <w:rFonts w:cstheme="minorHAnsi"/>
        </w:rPr>
        <w:t xml:space="preserve">a </w:t>
      </w:r>
      <w:r w:rsidR="000C515D" w:rsidRPr="00CE2AEB">
        <w:rPr>
          <w:rFonts w:cstheme="minorHAnsi"/>
        </w:rPr>
        <w:t>III.</w:t>
      </w:r>
      <w:r w:rsidR="00372966" w:rsidRPr="00CE2AEB">
        <w:rPr>
          <w:rFonts w:cstheme="minorHAnsi"/>
        </w:rPr>
        <w:t xml:space="preserve"> </w:t>
      </w:r>
      <w:r w:rsidR="41AD59B6" w:rsidRPr="00CE2AEB">
        <w:rPr>
          <w:rFonts w:cstheme="minorHAnsi"/>
        </w:rPr>
        <w:t>k</w:t>
      </w:r>
      <w:r w:rsidR="3E437AF2" w:rsidRPr="00CE2AEB">
        <w:rPr>
          <w:rFonts w:cstheme="minorHAnsi"/>
        </w:rPr>
        <w:t xml:space="preserve">linikai </w:t>
      </w:r>
      <w:r w:rsidR="00372966" w:rsidRPr="00CE2AEB">
        <w:rPr>
          <w:rFonts w:cstheme="minorHAnsi"/>
        </w:rPr>
        <w:t>fázisnál</w:t>
      </w:r>
      <w:r w:rsidR="3E437AF2" w:rsidRPr="00CE2AEB">
        <w:rPr>
          <w:rFonts w:cstheme="minorHAnsi"/>
        </w:rPr>
        <w:t>.</w:t>
      </w:r>
    </w:p>
    <w:p w14:paraId="77993709" w14:textId="692E1417" w:rsidR="00891EAE" w:rsidRPr="00BD151C" w:rsidRDefault="005A3600" w:rsidP="005828D7">
      <w:pPr>
        <w:spacing w:line="240" w:lineRule="auto"/>
        <w:jc w:val="both"/>
        <w:rPr>
          <w:rFonts w:cstheme="minorHAnsi"/>
        </w:rPr>
      </w:pPr>
      <w:r>
        <w:rPr>
          <w:rFonts w:cstheme="minorHAnsi"/>
        </w:rPr>
        <w:t xml:space="preserve">A COVID-19 vakcinákat az </w:t>
      </w:r>
      <w:r w:rsidRPr="00674A52">
        <w:rPr>
          <w:rFonts w:cstheme="minorHAnsi"/>
          <w:b/>
          <w:bCs/>
          <w:i/>
          <w:iCs/>
        </w:rPr>
        <w:t>1. Táblázat</w:t>
      </w:r>
      <w:r>
        <w:rPr>
          <w:rFonts w:cstheme="minorHAnsi"/>
        </w:rPr>
        <w:t xml:space="preserve"> foglalja össze.</w:t>
      </w:r>
    </w:p>
    <w:p w14:paraId="7DC77910" w14:textId="77777777" w:rsidR="005A3600" w:rsidRDefault="005A3600" w:rsidP="005A3600">
      <w:pPr>
        <w:spacing w:after="0" w:line="240" w:lineRule="auto"/>
        <w:jc w:val="both"/>
        <w:rPr>
          <w:rFonts w:cstheme="minorHAnsi"/>
        </w:rPr>
      </w:pPr>
    </w:p>
    <w:p w14:paraId="687C517F" w14:textId="77777777" w:rsidR="005A3600" w:rsidRDefault="005A3600" w:rsidP="005A3600">
      <w:pPr>
        <w:spacing w:after="200" w:line="276" w:lineRule="auto"/>
      </w:pPr>
      <w:r w:rsidRPr="004023DC">
        <w:rPr>
          <w:b/>
          <w:bCs/>
        </w:rPr>
        <w:t>1. táblázat:</w:t>
      </w:r>
      <w:r>
        <w:t xml:space="preserve"> COVID-19 vakcinák (zölddel jelölt forgalomban, a többi tervezett)</w:t>
      </w:r>
    </w:p>
    <w:tbl>
      <w:tblPr>
        <w:tblStyle w:val="Rcsostblzat"/>
        <w:tblW w:w="9634" w:type="dxa"/>
        <w:tblLook w:val="04A0" w:firstRow="1" w:lastRow="0" w:firstColumn="1" w:lastColumn="0" w:noHBand="0" w:noVBand="1"/>
      </w:tblPr>
      <w:tblGrid>
        <w:gridCol w:w="3026"/>
        <w:gridCol w:w="3018"/>
        <w:gridCol w:w="3590"/>
      </w:tblGrid>
      <w:tr w:rsidR="009A668E" w14:paraId="38BF67B4" w14:textId="77777777" w:rsidTr="009A668E">
        <w:tc>
          <w:tcPr>
            <w:tcW w:w="3026" w:type="dxa"/>
          </w:tcPr>
          <w:p w14:paraId="044F6A8E" w14:textId="77777777" w:rsidR="005A3600" w:rsidRPr="005A3600" w:rsidRDefault="005A3600" w:rsidP="009A668E">
            <w:pPr>
              <w:rPr>
                <w:rFonts w:cstheme="minorHAnsi"/>
              </w:rPr>
            </w:pPr>
            <w:r w:rsidRPr="005A3600">
              <w:rPr>
                <w:rFonts w:cstheme="minorHAnsi"/>
                <w:b/>
              </w:rPr>
              <w:t>Első generációs:</w:t>
            </w:r>
          </w:p>
          <w:p w14:paraId="75B76EE6" w14:textId="77777777" w:rsidR="005A3600" w:rsidRPr="005A3600" w:rsidRDefault="005A3600" w:rsidP="009A668E">
            <w:pPr>
              <w:rPr>
                <w:rFonts w:cstheme="minorHAnsi"/>
              </w:rPr>
            </w:pPr>
            <w:r w:rsidRPr="005A3600">
              <w:rPr>
                <w:rFonts w:cstheme="minorHAnsi"/>
              </w:rPr>
              <w:t>teljes vírust tartalmaz</w:t>
            </w:r>
          </w:p>
        </w:tc>
        <w:tc>
          <w:tcPr>
            <w:tcW w:w="3018" w:type="dxa"/>
          </w:tcPr>
          <w:p w14:paraId="192658EE" w14:textId="77777777" w:rsidR="005A3600" w:rsidRPr="005A3600" w:rsidRDefault="005A3600" w:rsidP="009A668E">
            <w:pPr>
              <w:rPr>
                <w:rFonts w:cstheme="minorHAnsi"/>
                <w:b/>
              </w:rPr>
            </w:pPr>
            <w:r w:rsidRPr="005A3600">
              <w:rPr>
                <w:rFonts w:cstheme="minorHAnsi"/>
                <w:b/>
              </w:rPr>
              <w:t>Második generációs:</w:t>
            </w:r>
          </w:p>
          <w:p w14:paraId="6F2E612C" w14:textId="77777777" w:rsidR="005A3600" w:rsidRPr="005A3600" w:rsidRDefault="005A3600" w:rsidP="009A668E">
            <w:pPr>
              <w:rPr>
                <w:rFonts w:cstheme="minorHAnsi"/>
              </w:rPr>
            </w:pPr>
            <w:r w:rsidRPr="005A3600">
              <w:rPr>
                <w:rFonts w:cstheme="minorHAnsi"/>
              </w:rPr>
              <w:t>a vírus genetikai anyaga nélküli, immunogenitásban hatásos koronavírusra jellemző egyedi fehérjéket, fehérje alegységeket + adjuváns, serkentő anyagot tartalmaz</w:t>
            </w:r>
          </w:p>
        </w:tc>
        <w:tc>
          <w:tcPr>
            <w:tcW w:w="3590" w:type="dxa"/>
          </w:tcPr>
          <w:p w14:paraId="6152D675" w14:textId="77777777" w:rsidR="005A3600" w:rsidRPr="005A3600" w:rsidRDefault="005A3600" w:rsidP="009A668E">
            <w:pPr>
              <w:rPr>
                <w:rFonts w:cstheme="minorHAnsi"/>
                <w:b/>
              </w:rPr>
            </w:pPr>
            <w:r w:rsidRPr="005A3600">
              <w:rPr>
                <w:rFonts w:cstheme="minorHAnsi"/>
                <w:b/>
              </w:rPr>
              <w:t>Harmadik generációs:</w:t>
            </w:r>
          </w:p>
          <w:p w14:paraId="41FA41E9" w14:textId="47DFE7FC" w:rsidR="005A3600" w:rsidRPr="005A3600" w:rsidRDefault="009A668E" w:rsidP="009A668E">
            <w:pPr>
              <w:rPr>
                <w:rFonts w:cstheme="minorHAnsi"/>
              </w:rPr>
            </w:pPr>
            <w:r>
              <w:rPr>
                <w:rFonts w:cstheme="minorHAnsi"/>
              </w:rPr>
              <w:t xml:space="preserve">az </w:t>
            </w:r>
            <w:r w:rsidR="005A3600" w:rsidRPr="005A3600">
              <w:rPr>
                <w:rFonts w:cstheme="minorHAnsi"/>
              </w:rPr>
              <w:t>immunogenitásban szerepet játszó kulcsfehérje előállításához szükséges nukleinsav-molekulát (DNS vagy RNS) juttatják be a szervezetbe</w:t>
            </w:r>
          </w:p>
        </w:tc>
      </w:tr>
      <w:tr w:rsidR="009A668E" w14:paraId="12DE9A2E" w14:textId="77777777" w:rsidTr="009A668E">
        <w:tc>
          <w:tcPr>
            <w:tcW w:w="3026" w:type="dxa"/>
          </w:tcPr>
          <w:p w14:paraId="21FA38FD" w14:textId="77777777" w:rsidR="005A3600" w:rsidRPr="009A668E" w:rsidRDefault="005A3600" w:rsidP="009A668E">
            <w:pPr>
              <w:pStyle w:val="Listaszerbekezds"/>
              <w:numPr>
                <w:ilvl w:val="0"/>
                <w:numId w:val="31"/>
              </w:numPr>
              <w:ind w:left="314" w:hanging="284"/>
              <w:rPr>
                <w:rFonts w:cstheme="minorHAnsi"/>
                <w:i/>
                <w:iCs/>
                <w:color w:val="212529"/>
              </w:rPr>
            </w:pPr>
            <w:r w:rsidRPr="009A668E">
              <w:rPr>
                <w:rFonts w:cstheme="minorHAnsi"/>
                <w:i/>
                <w:iCs/>
                <w:color w:val="212529"/>
              </w:rPr>
              <w:t>elölt (inaktivált) vírust tartalmaz:</w:t>
            </w:r>
          </w:p>
          <w:p w14:paraId="3BAC9619" w14:textId="77777777" w:rsidR="005A3600" w:rsidRDefault="005A3600" w:rsidP="009A668E">
            <w:pPr>
              <w:ind w:left="455"/>
              <w:rPr>
                <w:rFonts w:cstheme="minorHAnsi"/>
                <w:color w:val="212529"/>
              </w:rPr>
            </w:pPr>
            <w:r w:rsidRPr="009A668E">
              <w:rPr>
                <w:rFonts w:cstheme="minorHAnsi"/>
                <w:color w:val="212529"/>
              </w:rPr>
              <w:t xml:space="preserve">kínai </w:t>
            </w:r>
            <w:r w:rsidRPr="009A668E">
              <w:rPr>
                <w:rFonts w:cstheme="minorHAnsi"/>
                <w:color w:val="212529"/>
                <w:highlight w:val="green"/>
              </w:rPr>
              <w:t xml:space="preserve">Sinopharm </w:t>
            </w:r>
            <w:r w:rsidRPr="009A668E">
              <w:rPr>
                <w:rFonts w:cstheme="minorHAnsi"/>
                <w:color w:val="212529"/>
              </w:rPr>
              <w:t xml:space="preserve">és </w:t>
            </w:r>
            <w:r w:rsidRPr="009A668E">
              <w:rPr>
                <w:rFonts w:cstheme="minorHAnsi"/>
                <w:color w:val="212529"/>
                <w:highlight w:val="green"/>
              </w:rPr>
              <w:t>Sinovac</w:t>
            </w:r>
            <w:r w:rsidRPr="009A668E">
              <w:rPr>
                <w:rFonts w:cstheme="minorHAnsi"/>
                <w:color w:val="212529"/>
              </w:rPr>
              <w:t xml:space="preserve">, és </w:t>
            </w:r>
            <w:r w:rsidR="009A668E" w:rsidRPr="009A668E">
              <w:rPr>
                <w:rFonts w:cstheme="minorHAnsi"/>
                <w:color w:val="212529"/>
              </w:rPr>
              <w:t xml:space="preserve">a </w:t>
            </w:r>
            <w:r w:rsidRPr="009A668E">
              <w:rPr>
                <w:rFonts w:cstheme="minorHAnsi"/>
                <w:color w:val="212529"/>
              </w:rPr>
              <w:t>Magyarországon fejlesztés alatt álló koronavírus oltás</w:t>
            </w:r>
          </w:p>
          <w:p w14:paraId="6707059C" w14:textId="6472A4C0" w:rsidR="009A668E" w:rsidRPr="009A668E" w:rsidRDefault="009A668E" w:rsidP="009A668E">
            <w:pPr>
              <w:pStyle w:val="Listaszerbekezds"/>
              <w:numPr>
                <w:ilvl w:val="0"/>
                <w:numId w:val="31"/>
              </w:numPr>
              <w:ind w:left="314" w:hanging="284"/>
              <w:rPr>
                <w:rFonts w:cstheme="minorHAnsi"/>
                <w:i/>
                <w:iCs/>
              </w:rPr>
            </w:pPr>
            <w:r w:rsidRPr="009A668E">
              <w:rPr>
                <w:rFonts w:cstheme="minorHAnsi"/>
                <w:i/>
                <w:iCs/>
              </w:rPr>
              <w:t>gyengített (attenuált)</w:t>
            </w:r>
            <w:r>
              <w:rPr>
                <w:rFonts w:cstheme="minorHAnsi"/>
                <w:i/>
                <w:iCs/>
              </w:rPr>
              <w:t xml:space="preserve"> vírust tartalmaz</w:t>
            </w:r>
            <w:r w:rsidRPr="009A668E">
              <w:rPr>
                <w:rFonts w:cstheme="minorHAnsi"/>
                <w:i/>
                <w:iCs/>
              </w:rPr>
              <w:t>:</w:t>
            </w:r>
          </w:p>
          <w:p w14:paraId="1768F829" w14:textId="136F2B49" w:rsidR="009A668E" w:rsidRPr="009A668E" w:rsidRDefault="009A668E" w:rsidP="009A668E">
            <w:pPr>
              <w:ind w:left="455"/>
              <w:rPr>
                <w:rFonts w:cstheme="minorHAnsi"/>
              </w:rPr>
            </w:pPr>
            <w:r w:rsidRPr="005A3600">
              <w:rPr>
                <w:rFonts w:cstheme="minorHAnsi"/>
              </w:rPr>
              <w:t>jelenleg nincs</w:t>
            </w:r>
          </w:p>
        </w:tc>
        <w:tc>
          <w:tcPr>
            <w:tcW w:w="3018" w:type="dxa"/>
          </w:tcPr>
          <w:p w14:paraId="0A8892F0" w14:textId="77777777" w:rsidR="009444E6" w:rsidRPr="009444E6" w:rsidRDefault="009444E6" w:rsidP="009444E6">
            <w:pPr>
              <w:pStyle w:val="Listaszerbekezds"/>
              <w:numPr>
                <w:ilvl w:val="0"/>
                <w:numId w:val="36"/>
              </w:numPr>
              <w:ind w:left="266" w:hanging="283"/>
              <w:rPr>
                <w:rFonts w:cstheme="minorHAnsi"/>
                <w:i/>
                <w:iCs/>
              </w:rPr>
            </w:pPr>
            <w:r w:rsidRPr="009444E6">
              <w:rPr>
                <w:rFonts w:cstheme="minorHAnsi"/>
                <w:i/>
                <w:iCs/>
              </w:rPr>
              <w:t>Rekombináns tüskefehérje-alapú alegységvakcina:</w:t>
            </w:r>
          </w:p>
          <w:p w14:paraId="310503DA" w14:textId="5F2CB4B1" w:rsidR="005A3600" w:rsidRPr="009444E6" w:rsidRDefault="009444E6" w:rsidP="009444E6">
            <w:pPr>
              <w:pStyle w:val="Listaszerbekezds"/>
              <w:numPr>
                <w:ilvl w:val="0"/>
                <w:numId w:val="37"/>
              </w:numPr>
              <w:rPr>
                <w:rFonts w:cstheme="minorHAnsi"/>
              </w:rPr>
            </w:pPr>
            <w:r w:rsidRPr="009444E6">
              <w:rPr>
                <w:rFonts w:cstheme="minorHAnsi"/>
              </w:rPr>
              <w:t xml:space="preserve">NVX-CoV2373 (Novavax, </w:t>
            </w:r>
            <w:r w:rsidR="005A3600" w:rsidRPr="009444E6">
              <w:rPr>
                <w:rFonts w:cstheme="minorHAnsi"/>
              </w:rPr>
              <w:t>Sanofi/GSK</w:t>
            </w:r>
            <w:r w:rsidRPr="009444E6">
              <w:rPr>
                <w:rFonts w:cstheme="minorHAnsi"/>
              </w:rPr>
              <w:t>) (III-as fázisú klinikai vizsgálata folyamatban</w:t>
            </w:r>
          </w:p>
        </w:tc>
        <w:tc>
          <w:tcPr>
            <w:tcW w:w="3590" w:type="dxa"/>
          </w:tcPr>
          <w:p w14:paraId="006D0519" w14:textId="77777777" w:rsidR="005A3600" w:rsidRPr="009A668E" w:rsidRDefault="005A3600" w:rsidP="009A668E">
            <w:pPr>
              <w:pStyle w:val="Listaszerbekezds"/>
              <w:numPr>
                <w:ilvl w:val="0"/>
                <w:numId w:val="31"/>
              </w:numPr>
              <w:ind w:left="219" w:hanging="283"/>
              <w:rPr>
                <w:rFonts w:cstheme="minorHAnsi"/>
                <w:i/>
                <w:iCs/>
              </w:rPr>
            </w:pPr>
            <w:r w:rsidRPr="009A668E">
              <w:rPr>
                <w:rFonts w:cstheme="minorHAnsi"/>
                <w:i/>
                <w:iCs/>
              </w:rPr>
              <w:t>mRNS vakcina:</w:t>
            </w:r>
          </w:p>
          <w:p w14:paraId="28FDED12" w14:textId="77777777" w:rsidR="009A668E" w:rsidRPr="009A668E" w:rsidRDefault="005A3600" w:rsidP="009A668E">
            <w:pPr>
              <w:pStyle w:val="Listaszerbekezds"/>
              <w:numPr>
                <w:ilvl w:val="0"/>
                <w:numId w:val="34"/>
              </w:numPr>
              <w:rPr>
                <w:rFonts w:cstheme="minorHAnsi"/>
                <w:highlight w:val="green"/>
              </w:rPr>
            </w:pPr>
            <w:r w:rsidRPr="009A668E">
              <w:rPr>
                <w:rFonts w:cstheme="minorHAnsi"/>
                <w:highlight w:val="green"/>
              </w:rPr>
              <w:t>Pfizer/BioNTech (Comirnaty)</w:t>
            </w:r>
          </w:p>
          <w:p w14:paraId="3EC5578D" w14:textId="4664EDA7" w:rsidR="005A3600" w:rsidRPr="009A668E" w:rsidRDefault="005A3600" w:rsidP="009A668E">
            <w:pPr>
              <w:pStyle w:val="Listaszerbekezds"/>
              <w:numPr>
                <w:ilvl w:val="0"/>
                <w:numId w:val="34"/>
              </w:numPr>
              <w:rPr>
                <w:rFonts w:cstheme="minorHAnsi"/>
              </w:rPr>
            </w:pPr>
            <w:r w:rsidRPr="009A668E">
              <w:rPr>
                <w:rFonts w:cstheme="minorHAnsi"/>
                <w:highlight w:val="green"/>
              </w:rPr>
              <w:t>Moderna</w:t>
            </w:r>
          </w:p>
          <w:p w14:paraId="1B1C4CE9" w14:textId="77777777" w:rsidR="009A668E" w:rsidRPr="001E6F38" w:rsidRDefault="009A668E" w:rsidP="009A668E">
            <w:pPr>
              <w:pStyle w:val="Listaszerbekezds"/>
              <w:numPr>
                <w:ilvl w:val="0"/>
                <w:numId w:val="31"/>
              </w:numPr>
              <w:ind w:left="219" w:hanging="283"/>
              <w:rPr>
                <w:rFonts w:cstheme="minorHAnsi"/>
                <w:i/>
                <w:iCs/>
              </w:rPr>
            </w:pPr>
            <w:r w:rsidRPr="001E6F38">
              <w:rPr>
                <w:rFonts w:cstheme="minorHAnsi"/>
                <w:i/>
                <w:iCs/>
              </w:rPr>
              <w:t>Vektor vakcina:</w:t>
            </w:r>
          </w:p>
          <w:p w14:paraId="33BCA13A" w14:textId="4D429EFD" w:rsidR="009A668E" w:rsidRPr="001E6F38" w:rsidRDefault="009A668E" w:rsidP="001E6F38">
            <w:pPr>
              <w:pStyle w:val="Listaszerbekezds"/>
              <w:numPr>
                <w:ilvl w:val="0"/>
                <w:numId w:val="35"/>
              </w:numPr>
              <w:rPr>
                <w:rFonts w:cstheme="minorHAnsi"/>
              </w:rPr>
            </w:pPr>
            <w:r w:rsidRPr="001E6F38">
              <w:rPr>
                <w:rFonts w:cstheme="minorHAnsi"/>
                <w:highlight w:val="green"/>
              </w:rPr>
              <w:t>Astra/Zeneca</w:t>
            </w:r>
            <w:r w:rsidR="001E6F38">
              <w:rPr>
                <w:rFonts w:cstheme="minorHAnsi"/>
                <w:highlight w:val="green"/>
              </w:rPr>
              <w:t xml:space="preserve"> (</w:t>
            </w:r>
            <w:r w:rsidRPr="001E6F38">
              <w:rPr>
                <w:rFonts w:cstheme="minorHAnsi"/>
                <w:highlight w:val="green"/>
              </w:rPr>
              <w:t>Vaxzevria</w:t>
            </w:r>
            <w:r w:rsidR="001E6F38">
              <w:rPr>
                <w:rFonts w:cstheme="minorHAnsi"/>
              </w:rPr>
              <w:t>)</w:t>
            </w:r>
          </w:p>
          <w:p w14:paraId="66820236" w14:textId="77777777" w:rsidR="009A668E" w:rsidRPr="001E6F38" w:rsidRDefault="009A668E" w:rsidP="001E6F38">
            <w:pPr>
              <w:pStyle w:val="Listaszerbekezds"/>
              <w:numPr>
                <w:ilvl w:val="0"/>
                <w:numId w:val="35"/>
              </w:numPr>
              <w:rPr>
                <w:rFonts w:cstheme="minorHAnsi"/>
              </w:rPr>
            </w:pPr>
            <w:r w:rsidRPr="001E6F38">
              <w:rPr>
                <w:rFonts w:cstheme="minorHAnsi"/>
              </w:rPr>
              <w:t>CoviShield (India);</w:t>
            </w:r>
          </w:p>
          <w:p w14:paraId="249BD126" w14:textId="77777777" w:rsidR="009A668E" w:rsidRPr="001E6F38" w:rsidRDefault="009A668E" w:rsidP="001E6F38">
            <w:pPr>
              <w:pStyle w:val="Listaszerbekezds"/>
              <w:numPr>
                <w:ilvl w:val="0"/>
                <w:numId w:val="35"/>
              </w:numPr>
              <w:rPr>
                <w:rFonts w:cstheme="minorHAnsi"/>
              </w:rPr>
            </w:pPr>
            <w:r w:rsidRPr="001E6F38">
              <w:rPr>
                <w:rFonts w:cstheme="minorHAnsi"/>
                <w:highlight w:val="green"/>
              </w:rPr>
              <w:t>Szputnyik V</w:t>
            </w:r>
          </w:p>
          <w:p w14:paraId="08B35821" w14:textId="77777777" w:rsidR="009A668E" w:rsidRPr="001E6F38" w:rsidRDefault="009A668E" w:rsidP="001E6F38">
            <w:pPr>
              <w:pStyle w:val="Listaszerbekezds"/>
              <w:numPr>
                <w:ilvl w:val="0"/>
                <w:numId w:val="35"/>
              </w:numPr>
              <w:rPr>
                <w:rFonts w:cstheme="minorHAnsi"/>
              </w:rPr>
            </w:pPr>
            <w:r w:rsidRPr="001E6F38">
              <w:rPr>
                <w:rFonts w:cstheme="minorHAnsi"/>
              </w:rPr>
              <w:t>Convidecia (kanadai-kínai)</w:t>
            </w:r>
          </w:p>
          <w:p w14:paraId="298FF60A" w14:textId="63489BBD" w:rsidR="009A668E" w:rsidRPr="001E6F38" w:rsidRDefault="009A668E" w:rsidP="001E6F38">
            <w:pPr>
              <w:pStyle w:val="Listaszerbekezds"/>
              <w:numPr>
                <w:ilvl w:val="0"/>
                <w:numId w:val="35"/>
              </w:numPr>
              <w:rPr>
                <w:rFonts w:cstheme="minorHAnsi"/>
              </w:rPr>
            </w:pPr>
            <w:r w:rsidRPr="001E6F38">
              <w:rPr>
                <w:rFonts w:cstheme="minorHAnsi"/>
                <w:highlight w:val="green"/>
              </w:rPr>
              <w:t>Johnson &amp; Johnson</w:t>
            </w:r>
            <w:r w:rsidRPr="001E6F38">
              <w:rPr>
                <w:rFonts w:cstheme="minorHAnsi"/>
              </w:rPr>
              <w:t xml:space="preserve"> (Janssen)</w:t>
            </w:r>
          </w:p>
        </w:tc>
      </w:tr>
    </w:tbl>
    <w:p w14:paraId="6738FC06" w14:textId="7A646EE7" w:rsidR="005A3600" w:rsidRDefault="005A3600" w:rsidP="005A3600">
      <w:pPr>
        <w:spacing w:after="0" w:line="240" w:lineRule="auto"/>
        <w:jc w:val="both"/>
        <w:rPr>
          <w:rFonts w:cstheme="minorHAnsi"/>
        </w:rPr>
      </w:pPr>
    </w:p>
    <w:p w14:paraId="5C070591" w14:textId="23E92906" w:rsidR="00801899" w:rsidRPr="00BD151C" w:rsidRDefault="17139EFC" w:rsidP="005828D7">
      <w:pPr>
        <w:spacing w:after="0" w:line="240" w:lineRule="auto"/>
        <w:jc w:val="both"/>
        <w:rPr>
          <w:rFonts w:cstheme="minorHAnsi"/>
        </w:rPr>
      </w:pPr>
      <w:r w:rsidRPr="00BD151C">
        <w:rPr>
          <w:rFonts w:cstheme="minorHAnsi"/>
        </w:rPr>
        <w:t xml:space="preserve">Az alábbiakban </w:t>
      </w:r>
      <w:r w:rsidR="00372966" w:rsidRPr="00BD151C">
        <w:rPr>
          <w:rFonts w:cstheme="minorHAnsi"/>
        </w:rPr>
        <w:t xml:space="preserve">összefoglaljuk a hazai alkalmazás szempontjából időszerű vakcinákról rendelkezésre álló </w:t>
      </w:r>
      <w:r w:rsidR="00720243">
        <w:rPr>
          <w:rFonts w:cstheme="minorHAnsi"/>
        </w:rPr>
        <w:t xml:space="preserve">legfontosabb </w:t>
      </w:r>
      <w:r w:rsidR="00372966" w:rsidRPr="00BD151C">
        <w:rPr>
          <w:rFonts w:cstheme="minorHAnsi"/>
        </w:rPr>
        <w:t>információkat. E</w:t>
      </w:r>
      <w:r w:rsidR="76B4BA90" w:rsidRPr="00BD151C">
        <w:rPr>
          <w:rFonts w:cstheme="minorHAnsi"/>
        </w:rPr>
        <w:t>zek</w:t>
      </w:r>
      <w:r w:rsidR="30522E20" w:rsidRPr="00BD151C">
        <w:rPr>
          <w:rFonts w:cstheme="minorHAnsi"/>
        </w:rPr>
        <w:t>et</w:t>
      </w:r>
      <w:r w:rsidR="76B4BA90" w:rsidRPr="00BD151C">
        <w:rPr>
          <w:rFonts w:cstheme="minorHAnsi"/>
        </w:rPr>
        <w:t xml:space="preserve"> az adatok</w:t>
      </w:r>
      <w:r w:rsidR="6F99DD12" w:rsidRPr="00BD151C">
        <w:rPr>
          <w:rFonts w:cstheme="minorHAnsi"/>
        </w:rPr>
        <w:t xml:space="preserve">at </w:t>
      </w:r>
      <w:r w:rsidR="00372966" w:rsidRPr="00BD151C">
        <w:rPr>
          <w:rFonts w:cstheme="minorHAnsi"/>
        </w:rPr>
        <w:t xml:space="preserve">rendszeresen </w:t>
      </w:r>
      <w:r w:rsidR="76B4BA90" w:rsidRPr="00BD151C">
        <w:rPr>
          <w:rFonts w:cstheme="minorHAnsi"/>
        </w:rPr>
        <w:t>frissít</w:t>
      </w:r>
      <w:r w:rsidR="77BE328F" w:rsidRPr="00BD151C">
        <w:rPr>
          <w:rFonts w:cstheme="minorHAnsi"/>
        </w:rPr>
        <w:t>eni kell</w:t>
      </w:r>
      <w:r w:rsidR="6E14BF3E" w:rsidRPr="00BD151C">
        <w:rPr>
          <w:rFonts w:cstheme="minorHAnsi"/>
        </w:rPr>
        <w:t>.</w:t>
      </w:r>
    </w:p>
    <w:p w14:paraId="0D0C21E4" w14:textId="77777777" w:rsidR="003D7571" w:rsidRPr="00BD151C" w:rsidRDefault="003D7571" w:rsidP="005828D7">
      <w:pPr>
        <w:spacing w:after="0" w:line="240" w:lineRule="auto"/>
        <w:jc w:val="both"/>
        <w:rPr>
          <w:rFonts w:cstheme="minorHAnsi"/>
          <w:b/>
          <w:bCs/>
        </w:rPr>
      </w:pPr>
    </w:p>
    <w:p w14:paraId="37D4AECC" w14:textId="42606C39" w:rsidR="00801899" w:rsidRPr="00BD151C" w:rsidRDefault="00801899" w:rsidP="005828D7">
      <w:pPr>
        <w:pStyle w:val="Listaszerbekezds"/>
        <w:numPr>
          <w:ilvl w:val="0"/>
          <w:numId w:val="1"/>
        </w:numPr>
        <w:spacing w:after="0" w:line="240" w:lineRule="auto"/>
        <w:ind w:left="284" w:hanging="284"/>
        <w:contextualSpacing w:val="0"/>
        <w:rPr>
          <w:rFonts w:eastAsiaTheme="minorEastAsia" w:cstheme="minorHAnsi"/>
          <w:b/>
          <w:bCs/>
        </w:rPr>
      </w:pPr>
      <w:r w:rsidRPr="00BD151C">
        <w:rPr>
          <w:rFonts w:cstheme="minorHAnsi"/>
          <w:b/>
          <w:bCs/>
        </w:rPr>
        <w:t>EMA</w:t>
      </w:r>
      <w:r w:rsidR="00D434FA" w:rsidRPr="00BD151C">
        <w:rPr>
          <w:rFonts w:cstheme="minorHAnsi"/>
          <w:b/>
          <w:bCs/>
        </w:rPr>
        <w:t xml:space="preserve"> </w:t>
      </w:r>
      <w:r w:rsidRPr="00BD151C">
        <w:rPr>
          <w:rFonts w:cstheme="minorHAnsi"/>
          <w:b/>
          <w:bCs/>
        </w:rPr>
        <w:t>által</w:t>
      </w:r>
      <w:r w:rsidR="00D434FA" w:rsidRPr="00BD151C">
        <w:rPr>
          <w:rFonts w:cstheme="minorHAnsi"/>
          <w:b/>
          <w:bCs/>
        </w:rPr>
        <w:t xml:space="preserve"> </w:t>
      </w:r>
      <w:r w:rsidRPr="00BD151C">
        <w:rPr>
          <w:rFonts w:cstheme="minorHAnsi"/>
          <w:b/>
          <w:bCs/>
        </w:rPr>
        <w:t>engedélyezett</w:t>
      </w:r>
      <w:r w:rsidR="00D434FA" w:rsidRPr="00BD151C">
        <w:rPr>
          <w:rFonts w:cstheme="minorHAnsi"/>
          <w:b/>
          <w:bCs/>
        </w:rPr>
        <w:t xml:space="preserve"> </w:t>
      </w:r>
      <w:r w:rsidRPr="00BD151C">
        <w:rPr>
          <w:rFonts w:cstheme="minorHAnsi"/>
          <w:b/>
          <w:bCs/>
        </w:rPr>
        <w:t>vakcinák:</w:t>
      </w:r>
    </w:p>
    <w:p w14:paraId="0824A113" w14:textId="77777777" w:rsidR="003D7571" w:rsidRPr="00BD151C" w:rsidRDefault="003D7571" w:rsidP="005828D7">
      <w:pPr>
        <w:spacing w:after="0" w:line="240" w:lineRule="auto"/>
        <w:rPr>
          <w:rFonts w:eastAsiaTheme="minorEastAsia" w:cstheme="minorHAnsi"/>
          <w:b/>
          <w:bCs/>
        </w:rPr>
      </w:pPr>
    </w:p>
    <w:p w14:paraId="42E997C7" w14:textId="338A9C7E" w:rsidR="00891EAE" w:rsidRPr="00BD151C" w:rsidRDefault="00D0101F" w:rsidP="005828D7">
      <w:pPr>
        <w:spacing w:after="0" w:line="240" w:lineRule="auto"/>
        <w:ind w:left="284"/>
        <w:jc w:val="both"/>
        <w:rPr>
          <w:rFonts w:cstheme="minorHAnsi"/>
          <w:b/>
          <w:bCs/>
          <w:i/>
          <w:iCs/>
        </w:rPr>
      </w:pPr>
      <w:r w:rsidRPr="00BD151C">
        <w:rPr>
          <w:rFonts w:cstheme="minorHAnsi"/>
          <w:b/>
          <w:bCs/>
          <w:i/>
          <w:iCs/>
        </w:rPr>
        <w:t xml:space="preserve">mRNS </w:t>
      </w:r>
      <w:r w:rsidR="00891EAE" w:rsidRPr="00BD151C">
        <w:rPr>
          <w:rFonts w:cstheme="minorHAnsi"/>
          <w:b/>
          <w:bCs/>
          <w:i/>
          <w:iCs/>
        </w:rPr>
        <w:t>vakcinák:</w:t>
      </w:r>
    </w:p>
    <w:p w14:paraId="15D91525" w14:textId="18980834" w:rsidR="00801899" w:rsidRPr="00BD151C" w:rsidRDefault="00D434FA" w:rsidP="005828D7">
      <w:pPr>
        <w:spacing w:after="0" w:line="240" w:lineRule="auto"/>
        <w:ind w:left="284"/>
        <w:jc w:val="both"/>
        <w:rPr>
          <w:rFonts w:cstheme="minorHAnsi"/>
        </w:rPr>
      </w:pPr>
      <w:r w:rsidRPr="00BD151C">
        <w:rPr>
          <w:rFonts w:cstheme="minorHAnsi"/>
        </w:rPr>
        <w:t>Az mRNS vakcina l</w:t>
      </w:r>
      <w:r w:rsidR="00801899" w:rsidRPr="00BD151C">
        <w:rPr>
          <w:rFonts w:cstheme="minorHAnsi"/>
        </w:rPr>
        <w:t>ipid</w:t>
      </w:r>
      <w:r w:rsidRPr="00BD151C">
        <w:rPr>
          <w:rFonts w:cstheme="minorHAnsi"/>
        </w:rPr>
        <w:t xml:space="preserve"> </w:t>
      </w:r>
      <w:r w:rsidR="00801899" w:rsidRPr="00BD151C">
        <w:rPr>
          <w:rFonts w:cstheme="minorHAnsi"/>
        </w:rPr>
        <w:t>nanoparticulumba</w:t>
      </w:r>
      <w:r w:rsidRPr="00BD151C">
        <w:rPr>
          <w:rFonts w:cstheme="minorHAnsi"/>
        </w:rPr>
        <w:t xml:space="preserve"> </w:t>
      </w:r>
      <w:r w:rsidR="00801899" w:rsidRPr="00BD151C">
        <w:rPr>
          <w:rFonts w:cstheme="minorHAnsi"/>
        </w:rPr>
        <w:t xml:space="preserve">épített, a tüskefehérjét </w:t>
      </w:r>
      <w:r w:rsidR="000C515D" w:rsidRPr="00BD151C">
        <w:rPr>
          <w:rFonts w:cstheme="minorHAnsi"/>
        </w:rPr>
        <w:t xml:space="preserve">(spike) </w:t>
      </w:r>
      <w:r w:rsidR="00801899" w:rsidRPr="00BD151C">
        <w:rPr>
          <w:rFonts w:cstheme="minorHAnsi"/>
        </w:rPr>
        <w:t>kódoló RNS-t</w:t>
      </w:r>
      <w:r w:rsidRPr="00BD151C">
        <w:rPr>
          <w:rFonts w:cstheme="minorHAnsi"/>
        </w:rPr>
        <w:t xml:space="preserve"> </w:t>
      </w:r>
      <w:r w:rsidR="00801899" w:rsidRPr="00BD151C">
        <w:rPr>
          <w:rFonts w:cstheme="minorHAnsi"/>
        </w:rPr>
        <w:t>tartalmaz,</w:t>
      </w:r>
      <w:r w:rsidRPr="00BD151C">
        <w:rPr>
          <w:rFonts w:cstheme="minorHAnsi"/>
        </w:rPr>
        <w:t xml:space="preserve"> </w:t>
      </w:r>
      <w:r w:rsidR="00801899" w:rsidRPr="00BD151C">
        <w:rPr>
          <w:rFonts w:cstheme="minorHAnsi"/>
        </w:rPr>
        <w:t>amely bejut a</w:t>
      </w:r>
      <w:r w:rsidRPr="00BD151C">
        <w:rPr>
          <w:rFonts w:cstheme="minorHAnsi"/>
        </w:rPr>
        <w:t xml:space="preserve"> </w:t>
      </w:r>
      <w:r w:rsidR="00801899" w:rsidRPr="00BD151C">
        <w:rPr>
          <w:rFonts w:cstheme="minorHAnsi"/>
        </w:rPr>
        <w:t>vakcinált egyén sejtjeibe</w:t>
      </w:r>
      <w:r w:rsidR="4F25588A" w:rsidRPr="00BD151C">
        <w:rPr>
          <w:rFonts w:cstheme="minorHAnsi"/>
        </w:rPr>
        <w:t>,</w:t>
      </w:r>
      <w:r w:rsidRPr="00BD151C">
        <w:rPr>
          <w:rFonts w:cstheme="minorHAnsi"/>
        </w:rPr>
        <w:t xml:space="preserve"> </w:t>
      </w:r>
      <w:r w:rsidR="00801899" w:rsidRPr="00BD151C">
        <w:rPr>
          <w:rFonts w:cstheme="minorHAnsi"/>
        </w:rPr>
        <w:t>és ott íródik át.</w:t>
      </w:r>
      <w:r w:rsidRPr="00BD151C">
        <w:rPr>
          <w:rFonts w:cstheme="minorHAnsi"/>
        </w:rPr>
        <w:t xml:space="preserve"> </w:t>
      </w:r>
      <w:r w:rsidR="000C515D" w:rsidRPr="00BD151C">
        <w:rPr>
          <w:rFonts w:cstheme="minorHAnsi"/>
        </w:rPr>
        <w:t xml:space="preserve">Az átírt, majd szekretált specifikus vírusfehérje ellen </w:t>
      </w:r>
      <w:r w:rsidR="00372966" w:rsidRPr="00BD151C">
        <w:rPr>
          <w:rFonts w:cstheme="minorHAnsi"/>
        </w:rPr>
        <w:t>immunválasz indul</w:t>
      </w:r>
      <w:r w:rsidR="000C515D" w:rsidRPr="00BD151C">
        <w:rPr>
          <w:rFonts w:cstheme="minorHAnsi"/>
        </w:rPr>
        <w:t xml:space="preserve">. </w:t>
      </w:r>
      <w:r w:rsidR="00801899" w:rsidRPr="00BD151C">
        <w:rPr>
          <w:rFonts w:cstheme="minorHAnsi"/>
        </w:rPr>
        <w:t xml:space="preserve">A tüskefehérje a SARS-CoV-2 </w:t>
      </w:r>
      <w:r w:rsidR="00FF1D17" w:rsidRPr="00BD151C">
        <w:rPr>
          <w:rFonts w:cstheme="minorHAnsi"/>
        </w:rPr>
        <w:t>vírusnak a sejtek ACE2</w:t>
      </w:r>
      <w:r w:rsidR="00891EAE" w:rsidRPr="00BD151C">
        <w:rPr>
          <w:rFonts w:cstheme="minorHAnsi"/>
        </w:rPr>
        <w:t xml:space="preserve"> </w:t>
      </w:r>
      <w:r w:rsidR="00801899" w:rsidRPr="00BD151C">
        <w:rPr>
          <w:rFonts w:cstheme="minorHAnsi"/>
        </w:rPr>
        <w:t>receptor</w:t>
      </w:r>
      <w:r w:rsidR="00FF1D17" w:rsidRPr="00BD151C">
        <w:rPr>
          <w:rFonts w:cstheme="minorHAnsi"/>
        </w:rPr>
        <w:t>á</w:t>
      </w:r>
      <w:r w:rsidR="00801899" w:rsidRPr="00BD151C">
        <w:rPr>
          <w:rFonts w:cstheme="minorHAnsi"/>
        </w:rPr>
        <w:t xml:space="preserve">hoz </w:t>
      </w:r>
      <w:r w:rsidR="00FF1D17" w:rsidRPr="00BD151C">
        <w:rPr>
          <w:rFonts w:cstheme="minorHAnsi"/>
        </w:rPr>
        <w:t xml:space="preserve">való </w:t>
      </w:r>
      <w:r w:rsidR="00801899" w:rsidRPr="00BD151C">
        <w:rPr>
          <w:rFonts w:cstheme="minorHAnsi"/>
        </w:rPr>
        <w:t>kötődésében játszik szerepet</w:t>
      </w:r>
      <w:r w:rsidR="000C515D" w:rsidRPr="00BD151C">
        <w:rPr>
          <w:rFonts w:cstheme="minorHAnsi"/>
        </w:rPr>
        <w:t>, így a</w:t>
      </w:r>
      <w:r w:rsidR="00C830EA" w:rsidRPr="00BD151C">
        <w:rPr>
          <w:rFonts w:cstheme="minorHAnsi"/>
        </w:rPr>
        <w:t xml:space="preserve">z ellene termelődött ellenanyagok a </w:t>
      </w:r>
      <w:r w:rsidR="00C830EA" w:rsidRPr="00BD151C">
        <w:rPr>
          <w:rFonts w:cstheme="minorHAnsi"/>
        </w:rPr>
        <w:lastRenderedPageBreak/>
        <w:t>megbetegedést akadályozzák.</w:t>
      </w:r>
      <w:r w:rsidR="000C515D" w:rsidRPr="00BD151C">
        <w:rPr>
          <w:rFonts w:cstheme="minorHAnsi"/>
        </w:rPr>
        <w:t xml:space="preserve"> A</w:t>
      </w:r>
      <w:r w:rsidR="009B36AA" w:rsidRPr="00BD151C">
        <w:rPr>
          <w:rFonts w:cstheme="minorHAnsi"/>
        </w:rPr>
        <w:t>z</w:t>
      </w:r>
      <w:r w:rsidR="000C515D" w:rsidRPr="00BD151C">
        <w:rPr>
          <w:rFonts w:cstheme="minorHAnsi"/>
        </w:rPr>
        <w:t xml:space="preserve"> mRNS vakcina a sejtmagba nem jut be, a DNS-sel nem kerül kapcsolatba, egyéb vírus</w:t>
      </w:r>
      <w:r w:rsidR="00372966" w:rsidRPr="00BD151C">
        <w:rPr>
          <w:rFonts w:cstheme="minorHAnsi"/>
        </w:rPr>
        <w:t>fehérjék</w:t>
      </w:r>
      <w:r w:rsidR="000C515D" w:rsidRPr="00BD151C">
        <w:rPr>
          <w:rFonts w:cstheme="minorHAnsi"/>
        </w:rPr>
        <w:t xml:space="preserve"> nem termelődnek. E</w:t>
      </w:r>
      <w:r w:rsidR="00C56156" w:rsidRPr="00BD151C">
        <w:rPr>
          <w:rFonts w:cstheme="minorHAnsi"/>
        </w:rPr>
        <w:t>zzel a</w:t>
      </w:r>
      <w:r w:rsidR="000C515D" w:rsidRPr="00BD151C">
        <w:rPr>
          <w:rFonts w:cstheme="minorHAnsi"/>
        </w:rPr>
        <w:t xml:space="preserve"> legújabb technológiával készült vakcinákat 3. generációs vakcináknak nevezik.</w:t>
      </w:r>
      <w:r w:rsidR="009B36AA" w:rsidRPr="00BD151C">
        <w:rPr>
          <w:rFonts w:cstheme="minorHAnsi"/>
        </w:rPr>
        <w:t xml:space="preserve"> Az mRNS </w:t>
      </w:r>
      <w:r w:rsidR="00372966" w:rsidRPr="00BD151C">
        <w:rPr>
          <w:rFonts w:cstheme="minorHAnsi"/>
        </w:rPr>
        <w:t>szobahőn néhány nap alatt</w:t>
      </w:r>
      <w:r w:rsidR="009B36AA" w:rsidRPr="00BD151C">
        <w:rPr>
          <w:rFonts w:cstheme="minorHAnsi"/>
        </w:rPr>
        <w:t xml:space="preserve"> elbomlik, ezért mélyfagyaszt</w:t>
      </w:r>
      <w:r w:rsidR="00372966" w:rsidRPr="00BD151C">
        <w:rPr>
          <w:rFonts w:cstheme="minorHAnsi"/>
        </w:rPr>
        <w:t xml:space="preserve">va kell tárolni, és felengedés után </w:t>
      </w:r>
      <w:r w:rsidR="009B36AA" w:rsidRPr="00BD151C">
        <w:rPr>
          <w:rFonts w:cstheme="minorHAnsi"/>
        </w:rPr>
        <w:t>nem fagyasztható vissza.</w:t>
      </w:r>
    </w:p>
    <w:p w14:paraId="1B7F6FA9" w14:textId="77777777" w:rsidR="00026140" w:rsidRPr="00BD151C" w:rsidRDefault="00026140" w:rsidP="005828D7">
      <w:pPr>
        <w:spacing w:after="0" w:line="240" w:lineRule="auto"/>
        <w:ind w:left="284"/>
        <w:jc w:val="both"/>
        <w:rPr>
          <w:rFonts w:cstheme="minorHAnsi"/>
        </w:rPr>
      </w:pPr>
    </w:p>
    <w:p w14:paraId="440CEF81" w14:textId="26A324C2" w:rsidR="00801899" w:rsidRPr="00BD151C" w:rsidRDefault="00801899" w:rsidP="005828D7">
      <w:pPr>
        <w:numPr>
          <w:ilvl w:val="0"/>
          <w:numId w:val="7"/>
        </w:numPr>
        <w:spacing w:after="0" w:line="240" w:lineRule="auto"/>
        <w:ind w:left="426" w:hanging="142"/>
        <w:jc w:val="both"/>
        <w:rPr>
          <w:rFonts w:cstheme="minorHAnsi"/>
        </w:rPr>
      </w:pPr>
      <w:r w:rsidRPr="00BD151C">
        <w:rPr>
          <w:rFonts w:cstheme="minorHAnsi"/>
          <w:b/>
          <w:bCs/>
        </w:rPr>
        <w:t>Comirnaty</w:t>
      </w:r>
      <w:r w:rsidR="00DA0E4F" w:rsidRPr="00BD151C">
        <w:rPr>
          <w:rFonts w:cstheme="minorHAnsi"/>
          <w:b/>
          <w:bCs/>
        </w:rPr>
        <w:t xml:space="preserve"> </w:t>
      </w:r>
      <w:r w:rsidRPr="00BD151C">
        <w:rPr>
          <w:rFonts w:cstheme="minorHAnsi"/>
          <w:b/>
          <w:bCs/>
        </w:rPr>
        <w:t>(Pfizer</w:t>
      </w:r>
      <w:r w:rsidR="00550A12" w:rsidRPr="00BD151C">
        <w:rPr>
          <w:rFonts w:cstheme="minorHAnsi"/>
          <w:b/>
          <w:bCs/>
        </w:rPr>
        <w:t>-</w:t>
      </w:r>
      <w:r w:rsidRPr="00BD151C">
        <w:rPr>
          <w:rFonts w:cstheme="minorHAnsi"/>
          <w:b/>
          <w:bCs/>
        </w:rPr>
        <w:t xml:space="preserve">BioNTech) </w:t>
      </w:r>
      <w:r w:rsidRPr="00BD151C">
        <w:rPr>
          <w:rFonts w:cstheme="minorHAnsi"/>
        </w:rPr>
        <w:t>(USA, Németország)</w:t>
      </w:r>
    </w:p>
    <w:p w14:paraId="3F4CF125" w14:textId="031AA787" w:rsidR="00801899" w:rsidRPr="00BD151C" w:rsidRDefault="00801899" w:rsidP="005828D7">
      <w:pPr>
        <w:spacing w:after="0" w:line="240" w:lineRule="auto"/>
        <w:ind w:left="426"/>
        <w:jc w:val="both"/>
        <w:rPr>
          <w:rFonts w:cstheme="minorHAnsi"/>
        </w:rPr>
      </w:pPr>
      <w:r w:rsidRPr="00BD151C">
        <w:rPr>
          <w:rFonts w:cstheme="minorHAnsi"/>
        </w:rPr>
        <w:t>Két injekcióból áll</w:t>
      </w:r>
      <w:r w:rsidR="25B67FC8" w:rsidRPr="00BD151C">
        <w:rPr>
          <w:rFonts w:cstheme="minorHAnsi"/>
        </w:rPr>
        <w:t>,</w:t>
      </w:r>
      <w:r w:rsidR="00D434FA" w:rsidRPr="00BD151C">
        <w:rPr>
          <w:rFonts w:cstheme="minorHAnsi"/>
        </w:rPr>
        <w:t xml:space="preserve"> </w:t>
      </w:r>
      <w:r w:rsidR="00372966" w:rsidRPr="00BD151C">
        <w:rPr>
          <w:rFonts w:cstheme="minorHAnsi"/>
        </w:rPr>
        <w:t xml:space="preserve">melyeket </w:t>
      </w:r>
      <w:r w:rsidR="000D3140">
        <w:rPr>
          <w:rFonts w:cstheme="minorHAnsi"/>
        </w:rPr>
        <w:t>21</w:t>
      </w:r>
      <w:r w:rsidRPr="005E2939">
        <w:rPr>
          <w:rFonts w:cstheme="minorHAnsi"/>
        </w:rPr>
        <w:t xml:space="preserve"> nap</w:t>
      </w:r>
      <w:r w:rsidRPr="00BD151C">
        <w:rPr>
          <w:rFonts w:cstheme="minorHAnsi"/>
        </w:rPr>
        <w:t xml:space="preserve"> különbséggel </w:t>
      </w:r>
      <w:r w:rsidR="00372966" w:rsidRPr="00BD151C">
        <w:rPr>
          <w:rFonts w:cstheme="minorHAnsi"/>
        </w:rPr>
        <w:t>kell beadni</w:t>
      </w:r>
      <w:r w:rsidRPr="00BD151C">
        <w:rPr>
          <w:rFonts w:cstheme="minorHAnsi"/>
        </w:rPr>
        <w:t>.</w:t>
      </w:r>
      <w:r w:rsidR="00D434FA" w:rsidRPr="00BD151C">
        <w:rPr>
          <w:rFonts w:cstheme="minorHAnsi"/>
        </w:rPr>
        <w:t xml:space="preserve"> </w:t>
      </w:r>
      <w:r w:rsidRPr="00BD151C">
        <w:rPr>
          <w:rFonts w:cstheme="minorHAnsi"/>
        </w:rPr>
        <w:t>Mélyfagyasztott (-70 fok) tárolást igényel.</w:t>
      </w:r>
      <w:r w:rsidR="00D434FA" w:rsidRPr="00BD151C">
        <w:rPr>
          <w:rFonts w:cstheme="minorHAnsi"/>
        </w:rPr>
        <w:t xml:space="preserve"> </w:t>
      </w:r>
      <w:r w:rsidRPr="00BD151C">
        <w:rPr>
          <w:rFonts w:cstheme="minorHAnsi"/>
        </w:rPr>
        <w:t>Hatékonysága</w:t>
      </w:r>
      <w:r w:rsidR="00D434FA" w:rsidRPr="00BD151C">
        <w:rPr>
          <w:rFonts w:cstheme="minorHAnsi"/>
        </w:rPr>
        <w:t xml:space="preserve"> </w:t>
      </w:r>
      <w:r w:rsidRPr="00BD151C">
        <w:rPr>
          <w:rFonts w:cstheme="minorHAnsi"/>
        </w:rPr>
        <w:t>95%-os</w:t>
      </w:r>
      <w:r w:rsidR="00D434FA" w:rsidRPr="00BD151C">
        <w:rPr>
          <w:rFonts w:cstheme="minorHAnsi"/>
        </w:rPr>
        <w:t xml:space="preserve"> </w:t>
      </w:r>
      <w:r w:rsidRPr="00BD151C">
        <w:rPr>
          <w:rFonts w:cstheme="minorHAnsi"/>
        </w:rPr>
        <w:t>a</w:t>
      </w:r>
      <w:r w:rsidR="00D434FA" w:rsidRPr="00BD151C">
        <w:rPr>
          <w:rFonts w:cstheme="minorHAnsi"/>
        </w:rPr>
        <w:t xml:space="preserve"> </w:t>
      </w:r>
      <w:r w:rsidRPr="00BD151C">
        <w:rPr>
          <w:rFonts w:cstheme="minorHAnsi"/>
        </w:rPr>
        <w:t>klinikailag</w:t>
      </w:r>
      <w:r w:rsidR="00D434FA" w:rsidRPr="00BD151C">
        <w:rPr>
          <w:rFonts w:cstheme="minorHAnsi"/>
        </w:rPr>
        <w:t xml:space="preserve"> </w:t>
      </w:r>
      <w:r w:rsidRPr="00BD151C">
        <w:rPr>
          <w:rFonts w:cstheme="minorHAnsi"/>
        </w:rPr>
        <w:t>evidens COVID-19 fertőzés ellen a</w:t>
      </w:r>
      <w:r w:rsidR="00D434FA" w:rsidRPr="00BD151C">
        <w:rPr>
          <w:rFonts w:cstheme="minorHAnsi"/>
        </w:rPr>
        <w:t xml:space="preserve"> </w:t>
      </w:r>
      <w:r w:rsidRPr="00BD151C">
        <w:rPr>
          <w:rFonts w:cstheme="minorHAnsi"/>
        </w:rPr>
        <w:t>második</w:t>
      </w:r>
      <w:r w:rsidR="00D434FA" w:rsidRPr="00BD151C">
        <w:rPr>
          <w:rFonts w:cstheme="minorHAnsi"/>
        </w:rPr>
        <w:t xml:space="preserve"> </w:t>
      </w:r>
      <w:r w:rsidRPr="00BD151C">
        <w:rPr>
          <w:rFonts w:cstheme="minorHAnsi"/>
        </w:rPr>
        <w:t>dózis után</w:t>
      </w:r>
      <w:r w:rsidR="00372966" w:rsidRPr="00BD151C">
        <w:rPr>
          <w:rFonts w:cstheme="minorHAnsi"/>
        </w:rPr>
        <w:t>i</w:t>
      </w:r>
      <w:r w:rsidR="00D434FA" w:rsidRPr="00BD151C">
        <w:rPr>
          <w:rFonts w:cstheme="minorHAnsi"/>
        </w:rPr>
        <w:t xml:space="preserve"> </w:t>
      </w:r>
      <w:r w:rsidRPr="00BD151C">
        <w:rPr>
          <w:rFonts w:cstheme="minorHAnsi"/>
        </w:rPr>
        <w:t>7</w:t>
      </w:r>
      <w:r w:rsidR="50ABEA98" w:rsidRPr="00BD151C">
        <w:rPr>
          <w:rFonts w:cstheme="minorHAnsi"/>
        </w:rPr>
        <w:t>-14</w:t>
      </w:r>
      <w:r w:rsidR="3F332D7B" w:rsidRPr="00BD151C">
        <w:rPr>
          <w:rFonts w:cstheme="minorHAnsi"/>
        </w:rPr>
        <w:t>.</w:t>
      </w:r>
      <w:r w:rsidR="00D434FA" w:rsidRPr="00BD151C">
        <w:rPr>
          <w:rFonts w:cstheme="minorHAnsi"/>
        </w:rPr>
        <w:t xml:space="preserve"> </w:t>
      </w:r>
      <w:r w:rsidRPr="00BD151C">
        <w:rPr>
          <w:rFonts w:cstheme="minorHAnsi"/>
        </w:rPr>
        <w:t>nap</w:t>
      </w:r>
      <w:r w:rsidR="5CFDBB03" w:rsidRPr="00BD151C">
        <w:rPr>
          <w:rFonts w:cstheme="minorHAnsi"/>
        </w:rPr>
        <w:t>tól</w:t>
      </w:r>
      <w:r w:rsidRPr="00BD151C">
        <w:rPr>
          <w:rFonts w:cstheme="minorHAnsi"/>
        </w:rPr>
        <w:t xml:space="preserve">. </w:t>
      </w:r>
      <w:r w:rsidR="00B62E45" w:rsidRPr="00BD151C">
        <w:rPr>
          <w:rFonts w:cstheme="minorHAnsi"/>
        </w:rPr>
        <w:t>A közölt klinikai tanulmányban (43548 résztvevő) az oltást jól tolerálták, oltással kapcsolatos halálozás nem volt.</w:t>
      </w:r>
    </w:p>
    <w:p w14:paraId="5BB0F63D" w14:textId="2B524425" w:rsidR="00026140" w:rsidRPr="00BD151C" w:rsidRDefault="00026140" w:rsidP="005828D7">
      <w:pPr>
        <w:spacing w:after="0" w:line="240" w:lineRule="auto"/>
        <w:ind w:left="426"/>
        <w:jc w:val="both"/>
        <w:rPr>
          <w:rFonts w:cstheme="minorHAnsi"/>
        </w:rPr>
      </w:pPr>
      <w:r w:rsidRPr="00CE2AEB">
        <w:rPr>
          <w:rFonts w:cstheme="minorHAnsi"/>
        </w:rPr>
        <w:t>Használatához az OGYÉI alkalmazási előírást</w:t>
      </w:r>
      <w:r w:rsidR="00BD151C" w:rsidRPr="00CE2AEB">
        <w:rPr>
          <w:rFonts w:cstheme="minorHAnsi"/>
        </w:rPr>
        <w:t xml:space="preserve"> bocsátott ki.</w:t>
      </w:r>
    </w:p>
    <w:p w14:paraId="1BAC9D20" w14:textId="77777777" w:rsidR="00026140" w:rsidRPr="00BD151C" w:rsidRDefault="00026140" w:rsidP="005828D7">
      <w:pPr>
        <w:spacing w:after="0" w:line="240" w:lineRule="auto"/>
        <w:ind w:left="426"/>
        <w:jc w:val="both"/>
        <w:rPr>
          <w:rFonts w:cstheme="minorHAnsi"/>
        </w:rPr>
      </w:pPr>
    </w:p>
    <w:p w14:paraId="05CBE4A6" w14:textId="352DD6C7" w:rsidR="00801899" w:rsidRPr="00BD151C" w:rsidRDefault="00DA0E4F" w:rsidP="005828D7">
      <w:pPr>
        <w:numPr>
          <w:ilvl w:val="0"/>
          <w:numId w:val="8"/>
        </w:numPr>
        <w:spacing w:after="0" w:line="240" w:lineRule="auto"/>
        <w:ind w:left="426" w:hanging="142"/>
        <w:jc w:val="both"/>
        <w:rPr>
          <w:rFonts w:cstheme="minorHAnsi"/>
        </w:rPr>
      </w:pPr>
      <w:r w:rsidRPr="00BD151C">
        <w:rPr>
          <w:rFonts w:cstheme="minorHAnsi"/>
          <w:b/>
          <w:bCs/>
        </w:rPr>
        <w:t xml:space="preserve">COVID-19 Vakcina Moderna </w:t>
      </w:r>
      <w:r w:rsidR="00801899" w:rsidRPr="00BD151C">
        <w:rPr>
          <w:rFonts w:cstheme="minorHAnsi"/>
        </w:rPr>
        <w:t>(NIH, USA)</w:t>
      </w:r>
    </w:p>
    <w:p w14:paraId="3A7DA74E" w14:textId="2636C059" w:rsidR="00801899" w:rsidRPr="00BD151C" w:rsidRDefault="00801899" w:rsidP="005828D7">
      <w:pPr>
        <w:spacing w:after="0" w:line="240" w:lineRule="auto"/>
        <w:ind w:left="426"/>
        <w:jc w:val="both"/>
        <w:rPr>
          <w:rFonts w:cstheme="minorHAnsi"/>
        </w:rPr>
      </w:pPr>
      <w:r w:rsidRPr="00BD151C">
        <w:rPr>
          <w:rFonts w:cstheme="minorHAnsi"/>
        </w:rPr>
        <w:t>Két injekcióból áll</w:t>
      </w:r>
      <w:r w:rsidR="0C09A2C9" w:rsidRPr="00BD151C">
        <w:rPr>
          <w:rFonts w:cstheme="minorHAnsi"/>
        </w:rPr>
        <w:t>,</w:t>
      </w:r>
      <w:r w:rsidR="00D434FA" w:rsidRPr="00BD151C">
        <w:rPr>
          <w:rFonts w:cstheme="minorHAnsi"/>
        </w:rPr>
        <w:t xml:space="preserve"> </w:t>
      </w:r>
      <w:r w:rsidRPr="00BD151C">
        <w:rPr>
          <w:rFonts w:cstheme="minorHAnsi"/>
        </w:rPr>
        <w:t>28 nap különbséggel beadva.</w:t>
      </w:r>
      <w:r w:rsidR="00D434FA" w:rsidRPr="00BD151C">
        <w:rPr>
          <w:rFonts w:cstheme="minorHAnsi"/>
        </w:rPr>
        <w:t xml:space="preserve"> </w:t>
      </w:r>
      <w:r w:rsidRPr="00BD151C">
        <w:rPr>
          <w:rFonts w:cstheme="minorHAnsi"/>
        </w:rPr>
        <w:t>Mélyfagyasztott (-20 fok) tárolást igényel. Hatékonyság</w:t>
      </w:r>
      <w:r w:rsidR="17BC0175" w:rsidRPr="00BD151C">
        <w:rPr>
          <w:rFonts w:cstheme="minorHAnsi"/>
        </w:rPr>
        <w:t>a</w:t>
      </w:r>
      <w:r w:rsidRPr="00BD151C">
        <w:rPr>
          <w:rFonts w:cstheme="minorHAnsi"/>
        </w:rPr>
        <w:t xml:space="preserve"> 94</w:t>
      </w:r>
      <w:r w:rsidR="0066E92A" w:rsidRPr="00BD151C">
        <w:rPr>
          <w:rFonts w:cstheme="minorHAnsi"/>
        </w:rPr>
        <w:t>,</w:t>
      </w:r>
      <w:r w:rsidRPr="00BD151C">
        <w:rPr>
          <w:rFonts w:cstheme="minorHAnsi"/>
        </w:rPr>
        <w:t>1%-os</w:t>
      </w:r>
      <w:r w:rsidR="00D434FA" w:rsidRPr="00BD151C">
        <w:rPr>
          <w:rFonts w:cstheme="minorHAnsi"/>
        </w:rPr>
        <w:t xml:space="preserve"> </w:t>
      </w:r>
      <w:r w:rsidRPr="00BD151C">
        <w:rPr>
          <w:rFonts w:cstheme="minorHAnsi"/>
        </w:rPr>
        <w:t>a</w:t>
      </w:r>
      <w:r w:rsidR="00D434FA" w:rsidRPr="00BD151C">
        <w:rPr>
          <w:rFonts w:cstheme="minorHAnsi"/>
        </w:rPr>
        <w:t xml:space="preserve"> </w:t>
      </w:r>
      <w:r w:rsidRPr="00BD151C">
        <w:rPr>
          <w:rFonts w:cstheme="minorHAnsi"/>
        </w:rPr>
        <w:t>klinikailag</w:t>
      </w:r>
      <w:r w:rsidR="00D434FA" w:rsidRPr="00BD151C">
        <w:rPr>
          <w:rFonts w:cstheme="minorHAnsi"/>
        </w:rPr>
        <w:t xml:space="preserve"> </w:t>
      </w:r>
      <w:r w:rsidRPr="00BD151C">
        <w:rPr>
          <w:rFonts w:cstheme="minorHAnsi"/>
        </w:rPr>
        <w:t>evidens COVID-19 fertőzés ellen</w:t>
      </w:r>
      <w:r w:rsidR="00D434FA" w:rsidRPr="00BD151C">
        <w:rPr>
          <w:rFonts w:cstheme="minorHAnsi"/>
        </w:rPr>
        <w:t xml:space="preserve"> </w:t>
      </w:r>
      <w:r w:rsidRPr="00BD151C">
        <w:rPr>
          <w:rFonts w:cstheme="minorHAnsi"/>
        </w:rPr>
        <w:t>a második dózis után</w:t>
      </w:r>
      <w:r w:rsidR="00372966" w:rsidRPr="00BD151C">
        <w:rPr>
          <w:rFonts w:cstheme="minorHAnsi"/>
        </w:rPr>
        <w:t>i</w:t>
      </w:r>
      <w:r w:rsidRPr="00BD151C">
        <w:rPr>
          <w:rFonts w:cstheme="minorHAnsi"/>
        </w:rPr>
        <w:t xml:space="preserve"> 7-14</w:t>
      </w:r>
      <w:r w:rsidR="7E9AE1BD" w:rsidRPr="00BD151C">
        <w:rPr>
          <w:rFonts w:cstheme="minorHAnsi"/>
        </w:rPr>
        <w:t>.</w:t>
      </w:r>
      <w:r w:rsidRPr="00BD151C">
        <w:rPr>
          <w:rFonts w:cstheme="minorHAnsi"/>
        </w:rPr>
        <w:t xml:space="preserve"> </w:t>
      </w:r>
      <w:r w:rsidR="45BCEEB9" w:rsidRPr="00BD151C">
        <w:rPr>
          <w:rFonts w:cstheme="minorHAnsi"/>
        </w:rPr>
        <w:t>n</w:t>
      </w:r>
      <w:r w:rsidRPr="00BD151C">
        <w:rPr>
          <w:rFonts w:cstheme="minorHAnsi"/>
        </w:rPr>
        <w:t>ap</w:t>
      </w:r>
      <w:r w:rsidR="68EF4DC9" w:rsidRPr="00BD151C">
        <w:rPr>
          <w:rFonts w:cstheme="minorHAnsi"/>
        </w:rPr>
        <w:t>tól</w:t>
      </w:r>
      <w:r w:rsidR="73FB150A" w:rsidRPr="00BD151C">
        <w:rPr>
          <w:rFonts w:cstheme="minorHAnsi"/>
        </w:rPr>
        <w:t>.</w:t>
      </w:r>
    </w:p>
    <w:p w14:paraId="1D7DEB87" w14:textId="4FCCF633" w:rsidR="00BD151C" w:rsidRPr="00BD151C" w:rsidRDefault="00BD151C" w:rsidP="005828D7">
      <w:pPr>
        <w:spacing w:after="0" w:line="240" w:lineRule="auto"/>
        <w:ind w:left="426"/>
        <w:jc w:val="both"/>
        <w:rPr>
          <w:rFonts w:cstheme="minorHAnsi"/>
        </w:rPr>
      </w:pPr>
      <w:r w:rsidRPr="00CE2AEB">
        <w:rPr>
          <w:rFonts w:cstheme="minorHAnsi"/>
        </w:rPr>
        <w:t>Használatához az OGYÉI alkalmazási előírást bocsátott ki.</w:t>
      </w:r>
    </w:p>
    <w:p w14:paraId="0B266E49" w14:textId="77777777" w:rsidR="003D7571" w:rsidRPr="00BD151C" w:rsidRDefault="003D7571" w:rsidP="005828D7">
      <w:pPr>
        <w:spacing w:after="0" w:line="240" w:lineRule="auto"/>
        <w:jc w:val="both"/>
        <w:rPr>
          <w:rFonts w:cstheme="minorHAnsi"/>
        </w:rPr>
      </w:pPr>
    </w:p>
    <w:p w14:paraId="0787E1F1" w14:textId="1426B894" w:rsidR="00DA0E4F" w:rsidRPr="00BD151C" w:rsidRDefault="000E5A70" w:rsidP="005828D7">
      <w:pPr>
        <w:pStyle w:val="Listaszerbekezds"/>
        <w:spacing w:after="0" w:line="240" w:lineRule="auto"/>
        <w:ind w:left="284"/>
        <w:contextualSpacing w:val="0"/>
        <w:jc w:val="both"/>
        <w:rPr>
          <w:rFonts w:cstheme="minorHAnsi"/>
          <w:b/>
          <w:bCs/>
          <w:i/>
          <w:iCs/>
        </w:rPr>
      </w:pPr>
      <w:r w:rsidRPr="00BD151C">
        <w:rPr>
          <w:rFonts w:cstheme="minorHAnsi"/>
          <w:b/>
          <w:bCs/>
          <w:i/>
          <w:iCs/>
        </w:rPr>
        <w:t>Replikáció-inkompetens virális vektoralapú vakcin</w:t>
      </w:r>
      <w:r w:rsidR="00DA0E4F" w:rsidRPr="00BD151C">
        <w:rPr>
          <w:rFonts w:cstheme="minorHAnsi"/>
          <w:b/>
          <w:bCs/>
          <w:i/>
          <w:iCs/>
        </w:rPr>
        <w:t>ák:</w:t>
      </w:r>
    </w:p>
    <w:p w14:paraId="64A63FBD" w14:textId="48C85146" w:rsidR="000E5A70" w:rsidRPr="00BD151C" w:rsidRDefault="00372966" w:rsidP="005828D7">
      <w:pPr>
        <w:pStyle w:val="Listaszerbekezds"/>
        <w:spacing w:after="0" w:line="240" w:lineRule="auto"/>
        <w:ind w:left="284"/>
        <w:contextualSpacing w:val="0"/>
        <w:jc w:val="both"/>
        <w:rPr>
          <w:rFonts w:cstheme="minorHAnsi"/>
        </w:rPr>
      </w:pPr>
      <w:r w:rsidRPr="00BD151C">
        <w:rPr>
          <w:rFonts w:cstheme="minorHAnsi"/>
        </w:rPr>
        <w:t xml:space="preserve">A vektor </w:t>
      </w:r>
      <w:r w:rsidR="000E5A70" w:rsidRPr="00BD151C">
        <w:rPr>
          <w:rFonts w:cstheme="minorHAnsi"/>
        </w:rPr>
        <w:t>(egy emberre</w:t>
      </w:r>
      <w:r w:rsidRPr="00BD151C">
        <w:rPr>
          <w:rFonts w:cstheme="minorHAnsi"/>
        </w:rPr>
        <w:t xml:space="preserve"> ártalmatlan, replikációra képtelen adenovírus</w:t>
      </w:r>
      <w:r w:rsidR="000E5A70" w:rsidRPr="00BD151C">
        <w:rPr>
          <w:rFonts w:cstheme="minorHAnsi"/>
        </w:rPr>
        <w:t xml:space="preserve">) genomjába a tüskefehérjét kódoló transzgént építenek. A vektor bizonyos mértékben be tud jutni a vakcinált egyén sejtjeibe és ott expresszálja a tüskefehérjét, </w:t>
      </w:r>
      <w:r w:rsidRPr="00BD151C">
        <w:rPr>
          <w:rFonts w:cstheme="minorHAnsi"/>
        </w:rPr>
        <w:t xml:space="preserve">ami </w:t>
      </w:r>
      <w:r w:rsidR="000E5A70" w:rsidRPr="00BD151C">
        <w:rPr>
          <w:rFonts w:cstheme="minorHAnsi"/>
        </w:rPr>
        <w:t>immunreakciót vált ki. A vektorvírus szaporodásra nem képes, betegséget nem okoz.</w:t>
      </w:r>
    </w:p>
    <w:p w14:paraId="562F1C33" w14:textId="77777777" w:rsidR="00026140" w:rsidRPr="00BD151C" w:rsidRDefault="00026140" w:rsidP="005828D7">
      <w:pPr>
        <w:pStyle w:val="Listaszerbekezds"/>
        <w:spacing w:after="0" w:line="240" w:lineRule="auto"/>
        <w:ind w:left="284"/>
        <w:contextualSpacing w:val="0"/>
        <w:jc w:val="both"/>
        <w:rPr>
          <w:rFonts w:cstheme="minorHAnsi"/>
        </w:rPr>
      </w:pPr>
    </w:p>
    <w:p w14:paraId="412594F5" w14:textId="23B536D8" w:rsidR="003D7571" w:rsidRPr="00BD151C" w:rsidRDefault="005A4F5A" w:rsidP="005828D7">
      <w:pPr>
        <w:numPr>
          <w:ilvl w:val="0"/>
          <w:numId w:val="10"/>
        </w:numPr>
        <w:spacing w:after="0" w:line="240" w:lineRule="auto"/>
        <w:ind w:left="426" w:hanging="142"/>
        <w:jc w:val="both"/>
        <w:rPr>
          <w:rFonts w:cstheme="minorHAnsi"/>
        </w:rPr>
      </w:pPr>
      <w:r w:rsidRPr="005E2939">
        <w:rPr>
          <w:rFonts w:cstheme="minorHAnsi"/>
          <w:b/>
          <w:bCs/>
        </w:rPr>
        <w:t>Vaxzevria</w:t>
      </w:r>
      <w:r>
        <w:rPr>
          <w:rFonts w:cstheme="minorHAnsi"/>
          <w:b/>
          <w:bCs/>
        </w:rPr>
        <w:t xml:space="preserve"> (</w:t>
      </w:r>
      <w:r w:rsidR="0014073D">
        <w:rPr>
          <w:rFonts w:cstheme="minorHAnsi"/>
          <w:b/>
          <w:bCs/>
        </w:rPr>
        <w:t xml:space="preserve">korábban </w:t>
      </w:r>
      <w:r w:rsidR="003D7571" w:rsidRPr="00BD151C">
        <w:rPr>
          <w:rFonts w:cstheme="minorHAnsi"/>
          <w:b/>
          <w:bCs/>
        </w:rPr>
        <w:t>COVID-19 Vakcina AstraZeneca</w:t>
      </w:r>
      <w:bookmarkStart w:id="0" w:name="_Hlk62158008"/>
      <w:r>
        <w:rPr>
          <w:rFonts w:cstheme="minorHAnsi"/>
          <w:b/>
          <w:bCs/>
        </w:rPr>
        <w:t xml:space="preserve">, </w:t>
      </w:r>
      <w:r w:rsidR="003D7571" w:rsidRPr="00BD151C">
        <w:rPr>
          <w:rFonts w:cstheme="minorHAnsi"/>
        </w:rPr>
        <w:t>ChAd</w:t>
      </w:r>
      <w:bookmarkEnd w:id="0"/>
      <w:r w:rsidR="003D7571" w:rsidRPr="00BD151C">
        <w:rPr>
          <w:rFonts w:cstheme="minorHAnsi"/>
        </w:rPr>
        <w:t>Ox1-S) (Nagy-Britannia, Svédország, India</w:t>
      </w:r>
      <w:r w:rsidR="003D7571" w:rsidRPr="00BD151C">
        <w:rPr>
          <w:rFonts w:cstheme="minorHAnsi"/>
          <w:b/>
          <w:bCs/>
        </w:rPr>
        <w:t>)</w:t>
      </w:r>
    </w:p>
    <w:p w14:paraId="1AA2F8F8" w14:textId="33C94192" w:rsidR="00801899" w:rsidRDefault="00372966" w:rsidP="005828D7">
      <w:pPr>
        <w:spacing w:after="0" w:line="240" w:lineRule="auto"/>
        <w:ind w:left="426"/>
        <w:jc w:val="both"/>
        <w:rPr>
          <w:rFonts w:cstheme="minorHAnsi"/>
        </w:rPr>
      </w:pPr>
      <w:r w:rsidRPr="00BD151C">
        <w:rPr>
          <w:rFonts w:cstheme="minorHAnsi"/>
        </w:rPr>
        <w:t>A vakcina f</w:t>
      </w:r>
      <w:r w:rsidR="00801899" w:rsidRPr="00BD151C">
        <w:rPr>
          <w:rFonts w:cstheme="minorHAnsi"/>
        </w:rPr>
        <w:t>ejlesztését 2020 szeptember</w:t>
      </w:r>
      <w:r w:rsidRPr="00BD151C">
        <w:rPr>
          <w:rFonts w:cstheme="minorHAnsi"/>
        </w:rPr>
        <w:t>é</w:t>
      </w:r>
      <w:r w:rsidR="00801899" w:rsidRPr="00BD151C">
        <w:rPr>
          <w:rFonts w:cstheme="minorHAnsi"/>
        </w:rPr>
        <w:t>ben</w:t>
      </w:r>
      <w:r w:rsidR="00D434FA" w:rsidRPr="00BD151C">
        <w:rPr>
          <w:rFonts w:cstheme="minorHAnsi"/>
        </w:rPr>
        <w:t xml:space="preserve"> </w:t>
      </w:r>
      <w:r w:rsidR="00801899" w:rsidRPr="00BD151C">
        <w:rPr>
          <w:rFonts w:cstheme="minorHAnsi"/>
        </w:rPr>
        <w:t>átmenetileg</w:t>
      </w:r>
      <w:r w:rsidR="00D434FA" w:rsidRPr="00BD151C">
        <w:rPr>
          <w:rFonts w:cstheme="minorHAnsi"/>
        </w:rPr>
        <w:t xml:space="preserve"> </w:t>
      </w:r>
      <w:r w:rsidR="00801899" w:rsidRPr="00BD151C">
        <w:rPr>
          <w:rFonts w:cstheme="minorHAnsi"/>
        </w:rPr>
        <w:t>megállították, mert egy vizsgálati személynél</w:t>
      </w:r>
      <w:r w:rsidR="00D434FA" w:rsidRPr="00BD151C">
        <w:rPr>
          <w:rFonts w:cstheme="minorHAnsi"/>
        </w:rPr>
        <w:t xml:space="preserve"> </w:t>
      </w:r>
      <w:r w:rsidR="00801899" w:rsidRPr="00BD151C">
        <w:rPr>
          <w:rFonts w:cstheme="minorHAnsi"/>
        </w:rPr>
        <w:t>myelitis</w:t>
      </w:r>
      <w:r w:rsidR="3541565D" w:rsidRPr="00BD151C">
        <w:rPr>
          <w:rFonts w:cstheme="minorHAnsi"/>
        </w:rPr>
        <w:t xml:space="preserve"> trans</w:t>
      </w:r>
      <w:r w:rsidR="735A953C" w:rsidRPr="00BD151C">
        <w:rPr>
          <w:rFonts w:cstheme="minorHAnsi"/>
        </w:rPr>
        <w:t>z</w:t>
      </w:r>
      <w:r w:rsidR="3541565D" w:rsidRPr="00BD151C">
        <w:rPr>
          <w:rFonts w:cstheme="minorHAnsi"/>
        </w:rPr>
        <w:t>verz</w:t>
      </w:r>
      <w:r w:rsidR="487C875D" w:rsidRPr="00BD151C">
        <w:rPr>
          <w:rFonts w:cstheme="minorHAnsi"/>
        </w:rPr>
        <w:t>á</w:t>
      </w:r>
      <w:r w:rsidR="00801899" w:rsidRPr="00BD151C">
        <w:rPr>
          <w:rFonts w:cstheme="minorHAnsi"/>
        </w:rPr>
        <w:t>t</w:t>
      </w:r>
      <w:r w:rsidR="00D434FA" w:rsidRPr="00BD151C">
        <w:rPr>
          <w:rFonts w:cstheme="minorHAnsi"/>
        </w:rPr>
        <w:t xml:space="preserve"> </w:t>
      </w:r>
      <w:r w:rsidR="00801899" w:rsidRPr="00BD151C">
        <w:rPr>
          <w:rFonts w:cstheme="minorHAnsi"/>
        </w:rPr>
        <w:t>diagnosztizáltak.</w:t>
      </w:r>
      <w:r w:rsidR="00530676">
        <w:rPr>
          <w:rFonts w:cstheme="minorHAnsi"/>
        </w:rPr>
        <w:t xml:space="preserve"> </w:t>
      </w:r>
      <w:r w:rsidR="00530676" w:rsidRPr="00CE2AEB">
        <w:rPr>
          <w:rFonts w:cstheme="minorHAnsi"/>
        </w:rPr>
        <w:t xml:space="preserve">Egy másik vizsgálati személynél SM alakult ki. </w:t>
      </w:r>
      <w:r w:rsidR="007D2BA8" w:rsidRPr="00CE2AEB">
        <w:rPr>
          <w:rFonts w:cstheme="minorHAnsi"/>
        </w:rPr>
        <w:t>Az említett események</w:t>
      </w:r>
      <w:r w:rsidR="00530676" w:rsidRPr="00CE2AEB">
        <w:rPr>
          <w:rFonts w:cstheme="minorHAnsi"/>
        </w:rPr>
        <w:t xml:space="preserve"> ellenére a vakcina alkalmazási előirata nem fogalmaz meg ellenjavallatot stabil autoimmun betegségben.</w:t>
      </w:r>
    </w:p>
    <w:p w14:paraId="4AE54D63" w14:textId="65D13BEC" w:rsidR="0014073D" w:rsidRPr="00BD151C" w:rsidRDefault="0014073D" w:rsidP="005828D7">
      <w:pPr>
        <w:spacing w:after="0" w:line="240" w:lineRule="auto"/>
        <w:ind w:left="426"/>
        <w:jc w:val="both"/>
        <w:rPr>
          <w:rFonts w:cstheme="minorHAnsi"/>
        </w:rPr>
      </w:pPr>
      <w:r w:rsidRPr="005E2939">
        <w:rPr>
          <w:rFonts w:cstheme="minorHAnsi"/>
        </w:rPr>
        <w:t>A Vaxzevr</w:t>
      </w:r>
      <w:r w:rsidR="00766F60" w:rsidRPr="005E2939">
        <w:rPr>
          <w:rFonts w:cstheme="minorHAnsi"/>
        </w:rPr>
        <w:t>i</w:t>
      </w:r>
      <w:r w:rsidRPr="005E2939">
        <w:rPr>
          <w:rFonts w:cstheme="minorHAnsi"/>
        </w:rPr>
        <w:t xml:space="preserve">a nagyon ritka mellékhatásai közé kell sorolni az alacsony vérlemezkeszámmal társuló szokatlan </w:t>
      </w:r>
      <w:r w:rsidR="002B39A5" w:rsidRPr="005E2939">
        <w:rPr>
          <w:rFonts w:cstheme="minorHAnsi"/>
        </w:rPr>
        <w:t>vérrögök</w:t>
      </w:r>
      <w:r w:rsidRPr="005E2939">
        <w:rPr>
          <w:rFonts w:cstheme="minorHAnsi"/>
        </w:rPr>
        <w:t xml:space="preserve"> kialakulásának lehetőségét.</w:t>
      </w:r>
      <w:r w:rsidR="00990490" w:rsidRPr="005E2939">
        <w:rPr>
          <w:rFonts w:cstheme="minorHAnsi"/>
        </w:rPr>
        <w:t xml:space="preserve"> Jelenleg a konkrét kockázati tényezőket még nem sikerült azonosítani. Előfordultak súlyos esetek, amelyekben vénás trombózis alakult ki, néha szokatlan lokalizációval, például agyi vénás sinus trombózis vagy a splanchnicus vénák trombózisa formájában, és előfordult artériás trombózis is trombocitopéniával kísérve. Az esetek többsége az oltást követő első 14 napon belül fordult elő és főként 60 év alatti nőket érintett. Néhány eset végzetes kimenetelű volt. Eddig a jelentett esetek a Vaxzevria 1. adagjának beadása után fordultak elő. A 2. adag beadása utáni tapasztalatok még korlátozottak. Szakértői vélemények alapján a legvalószínűbb magyarázat egy az atípusos heparin indukálta trombocitopéniához (aHIT) hasonló rendellenesség. Valószínűsíthető, hogy nagy kötési affinitást mutató PF-4 ellenes antitestek keletkeznek. Az egészségügyi szakembereknek figyelemmel kell lenniük a trombembólia és/vagy a trombocitopénia jeleire és tüneteire, és erről tájékoztatniuk kell az oltottakat.</w:t>
      </w:r>
    </w:p>
    <w:p w14:paraId="255A1C61" w14:textId="054014D5" w:rsidR="00801899" w:rsidRPr="00BD151C" w:rsidRDefault="00801899" w:rsidP="005828D7">
      <w:pPr>
        <w:spacing w:after="0" w:line="240" w:lineRule="auto"/>
        <w:ind w:left="426"/>
        <w:jc w:val="both"/>
        <w:rPr>
          <w:rFonts w:cstheme="minorHAnsi"/>
        </w:rPr>
      </w:pPr>
      <w:r w:rsidRPr="00BD151C">
        <w:rPr>
          <w:rFonts w:cstheme="minorHAnsi"/>
        </w:rPr>
        <w:t>Két injekcióból áll</w:t>
      </w:r>
      <w:r w:rsidR="39AB0CB9" w:rsidRPr="00BD151C">
        <w:rPr>
          <w:rFonts w:cstheme="minorHAnsi"/>
        </w:rPr>
        <w:t>,</w:t>
      </w:r>
      <w:r w:rsidR="00D434FA" w:rsidRPr="00BD151C">
        <w:rPr>
          <w:rFonts w:cstheme="minorHAnsi"/>
        </w:rPr>
        <w:t xml:space="preserve"> </w:t>
      </w:r>
      <w:r w:rsidR="000D3140">
        <w:rPr>
          <w:rFonts w:cstheme="minorHAnsi"/>
        </w:rPr>
        <w:t>28-84 nap</w:t>
      </w:r>
      <w:r w:rsidRPr="00BD151C">
        <w:rPr>
          <w:rFonts w:cstheme="minorHAnsi"/>
        </w:rPr>
        <w:t xml:space="preserve"> különbséggel beadva.</w:t>
      </w:r>
      <w:r w:rsidR="00D434FA" w:rsidRPr="00BD151C">
        <w:rPr>
          <w:rFonts w:cstheme="minorHAnsi"/>
        </w:rPr>
        <w:t xml:space="preserve"> </w:t>
      </w:r>
      <w:r w:rsidRPr="00BD151C">
        <w:rPr>
          <w:rFonts w:cstheme="minorHAnsi"/>
        </w:rPr>
        <w:t xml:space="preserve">Hatékonysága </w:t>
      </w:r>
      <w:r w:rsidR="00D434FA" w:rsidRPr="00BD151C">
        <w:rPr>
          <w:rFonts w:cstheme="minorHAnsi"/>
        </w:rPr>
        <w:t xml:space="preserve">a tünetes COVID-19 betegség megelőzésére </w:t>
      </w:r>
      <w:r w:rsidRPr="00BD151C">
        <w:rPr>
          <w:rFonts w:cstheme="minorHAnsi"/>
        </w:rPr>
        <w:t>70</w:t>
      </w:r>
      <w:r w:rsidR="43B06D6F" w:rsidRPr="00BD151C">
        <w:rPr>
          <w:rFonts w:cstheme="minorHAnsi"/>
        </w:rPr>
        <w:t>,</w:t>
      </w:r>
      <w:r w:rsidRPr="00BD151C">
        <w:rPr>
          <w:rFonts w:cstheme="minorHAnsi"/>
        </w:rPr>
        <w:t>4%.</w:t>
      </w:r>
      <w:r w:rsidR="00D434FA" w:rsidRPr="00BD151C">
        <w:rPr>
          <w:rFonts w:cstheme="minorHAnsi"/>
        </w:rPr>
        <w:t xml:space="preserve"> Nem igényel mélyfagyasztott tárolást.</w:t>
      </w:r>
    </w:p>
    <w:p w14:paraId="0BE9E1D7" w14:textId="45FFD098" w:rsidR="00BD151C" w:rsidRDefault="00BD151C" w:rsidP="005828D7">
      <w:pPr>
        <w:spacing w:after="0" w:line="240" w:lineRule="auto"/>
        <w:ind w:left="426"/>
        <w:jc w:val="both"/>
        <w:rPr>
          <w:rFonts w:cstheme="minorHAnsi"/>
        </w:rPr>
      </w:pPr>
      <w:r w:rsidRPr="00CE2AEB">
        <w:rPr>
          <w:rFonts w:cstheme="minorHAnsi"/>
        </w:rPr>
        <w:t>Használatához az OGYÉI alkalmazási előírást bocsátott ki.</w:t>
      </w:r>
    </w:p>
    <w:p w14:paraId="01F241B2" w14:textId="45CF0169" w:rsidR="002B4365" w:rsidRDefault="002B4365" w:rsidP="005828D7">
      <w:pPr>
        <w:spacing w:after="0" w:line="240" w:lineRule="auto"/>
        <w:ind w:left="426"/>
        <w:jc w:val="both"/>
        <w:rPr>
          <w:rFonts w:cstheme="minorHAnsi"/>
        </w:rPr>
      </w:pPr>
    </w:p>
    <w:p w14:paraId="3175F862" w14:textId="1C12A55E" w:rsidR="002B4365" w:rsidRPr="005E2939" w:rsidRDefault="002B4365" w:rsidP="005828D7">
      <w:pPr>
        <w:pStyle w:val="Listaszerbekezds"/>
        <w:numPr>
          <w:ilvl w:val="0"/>
          <w:numId w:val="28"/>
        </w:numPr>
        <w:spacing w:after="0" w:line="240" w:lineRule="auto"/>
        <w:ind w:left="426" w:hanging="142"/>
        <w:contextualSpacing w:val="0"/>
        <w:jc w:val="both"/>
        <w:rPr>
          <w:rFonts w:cstheme="minorHAnsi"/>
          <w:b/>
          <w:bCs/>
        </w:rPr>
      </w:pPr>
      <w:r w:rsidRPr="005E2939">
        <w:rPr>
          <w:rFonts w:cstheme="minorHAnsi"/>
          <w:b/>
          <w:bCs/>
        </w:rPr>
        <w:t>COVID-19 Vakcina Janssen</w:t>
      </w:r>
      <w:r w:rsidR="005B67D2" w:rsidRPr="005E2939">
        <w:rPr>
          <w:rFonts w:cstheme="minorHAnsi"/>
          <w:b/>
          <w:bCs/>
        </w:rPr>
        <w:t xml:space="preserve"> (Ad26.COV2.S (Johnson&amp;Johnson)</w:t>
      </w:r>
      <w:r w:rsidRPr="005E2939">
        <w:rPr>
          <w:rFonts w:cstheme="minorHAnsi"/>
          <w:b/>
          <w:bCs/>
        </w:rPr>
        <w:t>:</w:t>
      </w:r>
    </w:p>
    <w:p w14:paraId="1255B936" w14:textId="0FDA2B2D" w:rsidR="002B4365" w:rsidRPr="005E2939" w:rsidRDefault="001C39CC" w:rsidP="005828D7">
      <w:pPr>
        <w:spacing w:after="0" w:line="240" w:lineRule="auto"/>
        <w:ind w:left="426"/>
        <w:jc w:val="both"/>
        <w:rPr>
          <w:rFonts w:cstheme="minorHAnsi"/>
        </w:rPr>
      </w:pPr>
      <w:r w:rsidRPr="005E2939">
        <w:rPr>
          <w:rFonts w:cstheme="minorHAnsi"/>
        </w:rPr>
        <w:t>Egy injekció beadása szükséges.</w:t>
      </w:r>
      <w:r w:rsidR="004A5FF6" w:rsidRPr="005E2939">
        <w:rPr>
          <w:rFonts w:cstheme="minorHAnsi"/>
        </w:rPr>
        <w:t xml:space="preserve"> </w:t>
      </w:r>
      <w:r w:rsidR="00E8421B" w:rsidRPr="005E2939">
        <w:rPr>
          <w:rFonts w:cstheme="minorHAnsi"/>
        </w:rPr>
        <w:t>Hatékonysága 67%-os a klinikailag evidens COVID-19 fertőzés ellen 2 héttel az oltás beadásától számítva</w:t>
      </w:r>
      <w:r w:rsidR="004A5FF6" w:rsidRPr="005E2939">
        <w:rPr>
          <w:rFonts w:cstheme="minorHAnsi"/>
        </w:rPr>
        <w:t>.</w:t>
      </w:r>
    </w:p>
    <w:p w14:paraId="3FB719F7" w14:textId="063D8F1F" w:rsidR="001E6F38" w:rsidRDefault="001E6F38" w:rsidP="005828D7">
      <w:pPr>
        <w:spacing w:after="0" w:line="240" w:lineRule="auto"/>
        <w:ind w:left="426"/>
        <w:jc w:val="both"/>
        <w:rPr>
          <w:rFonts w:cstheme="minorHAnsi"/>
        </w:rPr>
      </w:pPr>
      <w:r w:rsidRPr="005E2939">
        <w:rPr>
          <w:rFonts w:cstheme="minorHAnsi"/>
        </w:rPr>
        <w:t>Az AstraZeneca vakcinájánál megfigyeltekhez hasonlóan az alacsony vérlemezkeszámmal járó vérrögképződés igen ritka mellékhatásként előfordulhat 60 évesnél fiatalabb betegnél.</w:t>
      </w:r>
    </w:p>
    <w:p w14:paraId="2A1F7A17" w14:textId="77777777" w:rsidR="004B1AD4" w:rsidRPr="00BD151C" w:rsidRDefault="004B1AD4" w:rsidP="005828D7">
      <w:pPr>
        <w:spacing w:after="0" w:line="240" w:lineRule="auto"/>
        <w:jc w:val="both"/>
        <w:rPr>
          <w:rFonts w:cstheme="minorHAnsi"/>
        </w:rPr>
      </w:pPr>
    </w:p>
    <w:p w14:paraId="7A04892B" w14:textId="2360BC2C" w:rsidR="00026140" w:rsidRPr="00CE2AEB" w:rsidRDefault="00026140" w:rsidP="005828D7">
      <w:pPr>
        <w:pStyle w:val="Listaszerbekezds"/>
        <w:numPr>
          <w:ilvl w:val="0"/>
          <w:numId w:val="23"/>
        </w:numPr>
        <w:spacing w:after="0" w:line="240" w:lineRule="auto"/>
        <w:ind w:left="284" w:hanging="284"/>
        <w:contextualSpacing w:val="0"/>
        <w:jc w:val="both"/>
        <w:rPr>
          <w:rFonts w:cstheme="minorHAnsi"/>
          <w:b/>
          <w:bCs/>
        </w:rPr>
      </w:pPr>
      <w:r w:rsidRPr="00CE2AEB">
        <w:rPr>
          <w:rFonts w:cstheme="minorHAnsi"/>
          <w:b/>
          <w:bCs/>
        </w:rPr>
        <w:lastRenderedPageBreak/>
        <w:t>Magyarországon az OGYÉI által engedélyezett</w:t>
      </w:r>
      <w:r w:rsidR="00BD151C" w:rsidRPr="00CE2AEB">
        <w:rPr>
          <w:rFonts w:cstheme="minorHAnsi"/>
          <w:b/>
          <w:bCs/>
        </w:rPr>
        <w:t xml:space="preserve">, </w:t>
      </w:r>
      <w:r w:rsidRPr="00CE2AEB">
        <w:rPr>
          <w:rFonts w:cstheme="minorHAnsi"/>
          <w:b/>
          <w:bCs/>
        </w:rPr>
        <w:t>EMA en</w:t>
      </w:r>
      <w:r w:rsidR="00BD151C" w:rsidRPr="00CE2AEB">
        <w:rPr>
          <w:rFonts w:cstheme="minorHAnsi"/>
          <w:b/>
          <w:bCs/>
        </w:rPr>
        <w:t>gedéllyel nem rendelkező vakcinák</w:t>
      </w:r>
    </w:p>
    <w:p w14:paraId="2E39168C" w14:textId="23DF2693" w:rsidR="00026140" w:rsidRPr="00CE2AEB" w:rsidRDefault="00026140" w:rsidP="005828D7">
      <w:pPr>
        <w:spacing w:after="0" w:line="240" w:lineRule="auto"/>
        <w:jc w:val="both"/>
        <w:rPr>
          <w:rFonts w:cstheme="minorHAnsi"/>
        </w:rPr>
      </w:pPr>
    </w:p>
    <w:p w14:paraId="0FB77657" w14:textId="3FC220F8" w:rsidR="00BD151C" w:rsidRPr="00CE2AEB" w:rsidRDefault="00BD151C" w:rsidP="005828D7">
      <w:pPr>
        <w:pStyle w:val="Listaszerbekezds"/>
        <w:numPr>
          <w:ilvl w:val="0"/>
          <w:numId w:val="24"/>
        </w:numPr>
        <w:spacing w:after="0" w:line="240" w:lineRule="auto"/>
        <w:ind w:left="426" w:hanging="142"/>
        <w:contextualSpacing w:val="0"/>
        <w:jc w:val="both"/>
        <w:rPr>
          <w:rFonts w:cstheme="minorHAnsi"/>
        </w:rPr>
      </w:pPr>
      <w:r w:rsidRPr="00CE2AEB">
        <w:rPr>
          <w:rFonts w:cstheme="minorHAnsi"/>
          <w:b/>
          <w:bCs/>
        </w:rPr>
        <w:t xml:space="preserve"> Gam-COVID-V</w:t>
      </w:r>
      <w:r w:rsidR="00404C6E">
        <w:rPr>
          <w:rFonts w:cstheme="minorHAnsi"/>
          <w:b/>
          <w:bCs/>
        </w:rPr>
        <w:t>ac (S</w:t>
      </w:r>
      <w:r w:rsidR="00404C6E" w:rsidRPr="00CE2AEB">
        <w:rPr>
          <w:rFonts w:cstheme="minorHAnsi"/>
          <w:b/>
          <w:bCs/>
        </w:rPr>
        <w:t>putn</w:t>
      </w:r>
      <w:r w:rsidR="00503133">
        <w:rPr>
          <w:rFonts w:cstheme="minorHAnsi"/>
          <w:b/>
          <w:bCs/>
        </w:rPr>
        <w:t>y</w:t>
      </w:r>
      <w:r w:rsidR="00404C6E" w:rsidRPr="00CE2AEB">
        <w:rPr>
          <w:rFonts w:cstheme="minorHAnsi"/>
          <w:b/>
          <w:bCs/>
        </w:rPr>
        <w:t>ik V</w:t>
      </w:r>
      <w:r w:rsidR="00404C6E">
        <w:rPr>
          <w:rFonts w:cstheme="minorHAnsi"/>
          <w:b/>
          <w:bCs/>
        </w:rPr>
        <w:t>)</w:t>
      </w:r>
      <w:r w:rsidR="00404C6E" w:rsidRPr="00CE2AEB">
        <w:rPr>
          <w:rFonts w:cstheme="minorHAnsi"/>
          <w:b/>
          <w:bCs/>
        </w:rPr>
        <w:t xml:space="preserve"> </w:t>
      </w:r>
      <w:r w:rsidRPr="00CE2AEB">
        <w:rPr>
          <w:rFonts w:cstheme="minorHAnsi"/>
        </w:rPr>
        <w:t>(Oroszország)</w:t>
      </w:r>
    </w:p>
    <w:p w14:paraId="5BD7C34E" w14:textId="718AF60E" w:rsidR="004F46C1" w:rsidRPr="00CE2AEB" w:rsidRDefault="0022527D" w:rsidP="005828D7">
      <w:pPr>
        <w:spacing w:line="240" w:lineRule="auto"/>
        <w:ind w:left="426"/>
        <w:jc w:val="both"/>
        <w:rPr>
          <w:rFonts w:cstheme="minorHAnsi"/>
        </w:rPr>
      </w:pPr>
      <w:r w:rsidRPr="00CE2AEB">
        <w:rPr>
          <w:rFonts w:cstheme="minorHAnsi"/>
        </w:rPr>
        <w:t>Replikációra képtelen r</w:t>
      </w:r>
      <w:r w:rsidR="004F46C1" w:rsidRPr="00CE2AEB">
        <w:rPr>
          <w:rFonts w:cstheme="minorHAnsi"/>
        </w:rPr>
        <w:t>ekombináns adenovírus</w:t>
      </w:r>
      <w:r w:rsidR="00134E46" w:rsidRPr="00CE2AEB">
        <w:rPr>
          <w:rFonts w:cstheme="minorHAnsi"/>
        </w:rPr>
        <w:t>-</w:t>
      </w:r>
      <w:r w:rsidR="004F46C1" w:rsidRPr="00CE2AEB">
        <w:rPr>
          <w:rFonts w:cstheme="minorHAnsi"/>
        </w:rPr>
        <w:t>vektor</w:t>
      </w:r>
      <w:r w:rsidRPr="00CE2AEB">
        <w:rPr>
          <w:rFonts w:cstheme="minorHAnsi"/>
        </w:rPr>
        <w:t xml:space="preserve"> alapú </w:t>
      </w:r>
      <w:r w:rsidR="004F46C1" w:rsidRPr="00CE2AEB">
        <w:rPr>
          <w:rFonts w:cstheme="minorHAnsi"/>
        </w:rPr>
        <w:t>vakcina (Ad5-Ad26).</w:t>
      </w:r>
    </w:p>
    <w:p w14:paraId="25F902E4" w14:textId="3AB16D90" w:rsidR="0022527D" w:rsidRPr="00CE2AEB" w:rsidRDefault="0022527D" w:rsidP="005828D7">
      <w:pPr>
        <w:spacing w:line="240" w:lineRule="auto"/>
        <w:ind w:left="426"/>
        <w:jc w:val="both"/>
        <w:rPr>
          <w:rFonts w:cstheme="minorHAnsi"/>
        </w:rPr>
      </w:pPr>
      <w:r w:rsidRPr="00CE2AEB">
        <w:rPr>
          <w:rFonts w:cstheme="minorHAnsi"/>
        </w:rPr>
        <w:t xml:space="preserve">Két injekcióból áll, </w:t>
      </w:r>
      <w:r w:rsidR="0000439F" w:rsidRPr="005E2939">
        <w:rPr>
          <w:rFonts w:cstheme="minorHAnsi"/>
        </w:rPr>
        <w:t>az 1. és a 2. oltás egymástól különböző adenovírus-vektort tartalmaz</w:t>
      </w:r>
      <w:r w:rsidR="00F710A2">
        <w:rPr>
          <w:rFonts w:cstheme="minorHAnsi"/>
        </w:rPr>
        <w:t>, melyeket</w:t>
      </w:r>
      <w:r w:rsidR="0000439F">
        <w:rPr>
          <w:rFonts w:cstheme="minorHAnsi"/>
        </w:rPr>
        <w:t xml:space="preserve"> </w:t>
      </w:r>
      <w:r w:rsidRPr="00CE2AEB">
        <w:rPr>
          <w:rFonts w:cstheme="minorHAnsi"/>
        </w:rPr>
        <w:t xml:space="preserve">21 nap különbséggel </w:t>
      </w:r>
      <w:r w:rsidR="00F710A2">
        <w:rPr>
          <w:rFonts w:cstheme="minorHAnsi"/>
        </w:rPr>
        <w:t>kell beadni</w:t>
      </w:r>
      <w:r w:rsidRPr="00CE2AEB">
        <w:rPr>
          <w:rFonts w:cstheme="minorHAnsi"/>
        </w:rPr>
        <w:t>. Hatékonysága a tünetes COVID-19 betegség megelőzésére 91,6%. Nem igényel mélyfagyasztott tárolást.</w:t>
      </w:r>
    </w:p>
    <w:p w14:paraId="42D78F79" w14:textId="439FC64B" w:rsidR="00BD151C" w:rsidRPr="00CE2AEB" w:rsidRDefault="00BD151C" w:rsidP="005828D7">
      <w:pPr>
        <w:spacing w:after="0" w:line="240" w:lineRule="auto"/>
        <w:ind w:left="426"/>
        <w:jc w:val="both"/>
        <w:rPr>
          <w:rFonts w:cstheme="minorHAnsi"/>
        </w:rPr>
      </w:pPr>
      <w:r w:rsidRPr="005E2939">
        <w:rPr>
          <w:rFonts w:cstheme="minorHAnsi"/>
        </w:rPr>
        <w:t xml:space="preserve">Használatához az OGYÉI </w:t>
      </w:r>
      <w:r w:rsidR="001A75BA" w:rsidRPr="005E2939">
        <w:rPr>
          <w:rFonts w:cstheme="minorHAnsi"/>
        </w:rPr>
        <w:t xml:space="preserve">alkalmazási </w:t>
      </w:r>
      <w:r w:rsidRPr="005E2939">
        <w:rPr>
          <w:rFonts w:cstheme="minorHAnsi"/>
        </w:rPr>
        <w:t>iránymutatást bocsátott ki</w:t>
      </w:r>
      <w:r w:rsidR="001A75BA" w:rsidRPr="005E2939">
        <w:rPr>
          <w:rFonts w:cstheme="minorHAnsi"/>
        </w:rPr>
        <w:t>, mely szerint autoimmun betegségben a védőoltás beadásáról egyedileg, az előny-kockázat arány értékelése alapján kell döntést hozni; különös körültekintést igényelnek azok a betegek, akik autoimmun betegsége súlyos és életveszélyes állapotok kialakulásához vezethet.</w:t>
      </w:r>
    </w:p>
    <w:p w14:paraId="2364F104" w14:textId="727EF114" w:rsidR="00BD151C" w:rsidRPr="005B4B8E" w:rsidRDefault="00BD151C" w:rsidP="005828D7">
      <w:pPr>
        <w:spacing w:after="0" w:line="240" w:lineRule="auto"/>
        <w:jc w:val="both"/>
        <w:rPr>
          <w:rFonts w:cstheme="minorHAnsi"/>
          <w:highlight w:val="yellow"/>
        </w:rPr>
      </w:pPr>
    </w:p>
    <w:p w14:paraId="0AF3892D" w14:textId="384B7698" w:rsidR="00BD151C" w:rsidRPr="00CE2AEB" w:rsidRDefault="00BD151C" w:rsidP="005828D7">
      <w:pPr>
        <w:pStyle w:val="Listaszerbekezds"/>
        <w:numPr>
          <w:ilvl w:val="0"/>
          <w:numId w:val="25"/>
        </w:numPr>
        <w:spacing w:after="0" w:line="240" w:lineRule="auto"/>
        <w:ind w:left="426" w:hanging="142"/>
        <w:contextualSpacing w:val="0"/>
        <w:jc w:val="both"/>
        <w:rPr>
          <w:rFonts w:cstheme="minorHAnsi"/>
          <w:b/>
          <w:bCs/>
        </w:rPr>
      </w:pPr>
      <w:r w:rsidRPr="00CE2AEB">
        <w:rPr>
          <w:rFonts w:cstheme="minorHAnsi"/>
          <w:b/>
          <w:bCs/>
        </w:rPr>
        <w:t>Sinopharm vakcina</w:t>
      </w:r>
      <w:r w:rsidR="00A400AE" w:rsidRPr="00CE2AEB">
        <w:rPr>
          <w:rFonts w:cstheme="minorHAnsi"/>
          <w:b/>
          <w:bCs/>
        </w:rPr>
        <w:t>, SARS-CoV-2 vakcina (Vero Cell)</w:t>
      </w:r>
      <w:r w:rsidRPr="00CE2AEB">
        <w:rPr>
          <w:rFonts w:cstheme="minorHAnsi"/>
          <w:b/>
          <w:bCs/>
        </w:rPr>
        <w:t xml:space="preserve"> </w:t>
      </w:r>
      <w:r w:rsidRPr="00CE2AEB">
        <w:rPr>
          <w:rFonts w:cstheme="minorHAnsi"/>
        </w:rPr>
        <w:t>(Kína)</w:t>
      </w:r>
    </w:p>
    <w:p w14:paraId="3B5E5D24" w14:textId="5272B95D" w:rsidR="00BD151C" w:rsidRPr="00CE2AEB" w:rsidRDefault="001A7FB6" w:rsidP="005828D7">
      <w:pPr>
        <w:pStyle w:val="Listaszerbekezds"/>
        <w:spacing w:after="0" w:line="240" w:lineRule="auto"/>
        <w:ind w:left="426"/>
        <w:contextualSpacing w:val="0"/>
        <w:jc w:val="both"/>
        <w:rPr>
          <w:rFonts w:cstheme="minorHAnsi"/>
        </w:rPr>
      </w:pPr>
      <w:r w:rsidRPr="00CE2AEB">
        <w:rPr>
          <w:rFonts w:cstheme="minorHAnsi"/>
        </w:rPr>
        <w:t>Inaktivált vírust tartalmaz.</w:t>
      </w:r>
    </w:p>
    <w:p w14:paraId="163DF988" w14:textId="42257133" w:rsidR="00A400AE" w:rsidRPr="00CE2AEB" w:rsidRDefault="00A400AE" w:rsidP="005828D7">
      <w:pPr>
        <w:pStyle w:val="Listaszerbekezds"/>
        <w:spacing w:after="0" w:line="240" w:lineRule="auto"/>
        <w:ind w:left="426"/>
        <w:contextualSpacing w:val="0"/>
        <w:jc w:val="both"/>
        <w:rPr>
          <w:rFonts w:cstheme="minorHAnsi"/>
        </w:rPr>
      </w:pPr>
      <w:r w:rsidRPr="00CE2AEB">
        <w:rPr>
          <w:rFonts w:cstheme="minorHAnsi"/>
        </w:rPr>
        <w:t>Két injekcióból áll, 21-28 nap különbséggel beadva. Hatékonysága a tünetes COVID-19 betegség megelőzésére 79,34%</w:t>
      </w:r>
      <w:r w:rsidR="00C663A4">
        <w:rPr>
          <w:rFonts w:cstheme="minorHAnsi"/>
        </w:rPr>
        <w:t xml:space="preserve"> a 2. oltás beadása után 2 héttel</w:t>
      </w:r>
      <w:r w:rsidRPr="00CE2AEB">
        <w:rPr>
          <w:rFonts w:cstheme="minorHAnsi"/>
        </w:rPr>
        <w:t>. Nem igényel mélyfagyasztott tárolást.</w:t>
      </w:r>
    </w:p>
    <w:p w14:paraId="4A56C25D" w14:textId="528ACCAC" w:rsidR="00A400AE" w:rsidRDefault="00F44CAA" w:rsidP="005828D7">
      <w:pPr>
        <w:pStyle w:val="Listaszerbekezds"/>
        <w:spacing w:after="0" w:line="240" w:lineRule="auto"/>
        <w:ind w:left="426"/>
        <w:contextualSpacing w:val="0"/>
        <w:jc w:val="both"/>
        <w:rPr>
          <w:rFonts w:cstheme="minorHAnsi"/>
        </w:rPr>
      </w:pPr>
      <w:r w:rsidRPr="005A3600">
        <w:rPr>
          <w:rFonts w:cstheme="minorHAnsi"/>
          <w:color w:val="FF0000"/>
        </w:rPr>
        <w:t>A vakcina III. klinikai fázisú vizsgálatának eredményei nem kerültek publikálásra</w:t>
      </w:r>
      <w:r w:rsidR="007D2BA8" w:rsidRPr="005A3600">
        <w:rPr>
          <w:rFonts w:cstheme="minorHAnsi"/>
          <w:color w:val="FF0000"/>
        </w:rPr>
        <w:t>, a vakcina biztonságosságáról részletes adatok nem állnak rendelkezésre</w:t>
      </w:r>
      <w:r w:rsidRPr="00CE2AEB">
        <w:rPr>
          <w:rFonts w:cstheme="minorHAnsi"/>
        </w:rPr>
        <w:t>. A vakcina h</w:t>
      </w:r>
      <w:r w:rsidR="00A400AE" w:rsidRPr="00CE2AEB">
        <w:rPr>
          <w:rFonts w:cstheme="minorHAnsi"/>
        </w:rPr>
        <w:t>asználatához az OGYÉI iránymutatást adó leírást bocsátott ki.</w:t>
      </w:r>
      <w:r w:rsidRPr="00CE2AEB">
        <w:rPr>
          <w:rFonts w:cstheme="minorHAnsi"/>
        </w:rPr>
        <w:t xml:space="preserve"> Ebben az alkalmazási iránymutatóban a vakcina alkalmazása stabil állapotú neuroimmunológiai betegségben nem ellenjavallt</w:t>
      </w:r>
      <w:r w:rsidR="004B1AD4">
        <w:rPr>
          <w:rFonts w:cstheme="minorHAnsi"/>
        </w:rPr>
        <w:t xml:space="preserve">, </w:t>
      </w:r>
      <w:r w:rsidR="004B1AD4" w:rsidRPr="005E2939">
        <w:rPr>
          <w:rFonts w:cstheme="minorHAnsi"/>
        </w:rPr>
        <w:t>de immunszuppresszív kezelés esetén csak kellő körültekintéssel javasolják alkalmazását</w:t>
      </w:r>
      <w:r w:rsidRPr="005E2939">
        <w:rPr>
          <w:rFonts w:cstheme="minorHAnsi"/>
        </w:rPr>
        <w:t>.</w:t>
      </w:r>
    </w:p>
    <w:p w14:paraId="5E3088E9" w14:textId="5CEA6EB9" w:rsidR="00BD151C" w:rsidRDefault="00BD151C" w:rsidP="005828D7">
      <w:pPr>
        <w:spacing w:after="0" w:line="240" w:lineRule="auto"/>
        <w:jc w:val="both"/>
        <w:rPr>
          <w:rFonts w:cstheme="minorHAnsi"/>
        </w:rPr>
      </w:pPr>
    </w:p>
    <w:p w14:paraId="28A69B68" w14:textId="43909FCC" w:rsidR="00221337" w:rsidRPr="005E2939" w:rsidRDefault="00221337" w:rsidP="005828D7">
      <w:pPr>
        <w:pStyle w:val="Listaszerbekezds"/>
        <w:numPr>
          <w:ilvl w:val="0"/>
          <w:numId w:val="29"/>
        </w:numPr>
        <w:spacing w:after="0" w:line="240" w:lineRule="auto"/>
        <w:ind w:left="426" w:hanging="142"/>
        <w:contextualSpacing w:val="0"/>
        <w:jc w:val="both"/>
        <w:rPr>
          <w:rFonts w:cstheme="minorHAnsi"/>
        </w:rPr>
      </w:pPr>
      <w:r w:rsidRPr="005E2939">
        <w:rPr>
          <w:rFonts w:cstheme="minorHAnsi"/>
        </w:rPr>
        <w:t xml:space="preserve">A közeljövőben két további virális vektorvakcina az indiai </w:t>
      </w:r>
      <w:r w:rsidRPr="005E2939">
        <w:rPr>
          <w:rFonts w:cstheme="minorHAnsi"/>
          <w:b/>
          <w:bCs/>
        </w:rPr>
        <w:t>CoviShield</w:t>
      </w:r>
      <w:r w:rsidRPr="005E2939">
        <w:rPr>
          <w:rFonts w:cstheme="minorHAnsi"/>
        </w:rPr>
        <w:t xml:space="preserve"> és a kínai </w:t>
      </w:r>
      <w:r w:rsidRPr="005E2939">
        <w:rPr>
          <w:rFonts w:cstheme="minorHAnsi"/>
          <w:b/>
          <w:bCs/>
        </w:rPr>
        <w:t>Convidecia</w:t>
      </w:r>
      <w:r w:rsidRPr="005E2939">
        <w:rPr>
          <w:rFonts w:cstheme="minorHAnsi"/>
        </w:rPr>
        <w:t xml:space="preserve"> válhatnak elérhetővé hazánkban. </w:t>
      </w:r>
    </w:p>
    <w:p w14:paraId="391B5A82" w14:textId="77777777" w:rsidR="00221337" w:rsidRPr="00BD151C" w:rsidRDefault="00221337" w:rsidP="005828D7">
      <w:pPr>
        <w:spacing w:after="0" w:line="240" w:lineRule="auto"/>
        <w:jc w:val="both"/>
        <w:rPr>
          <w:rFonts w:cstheme="minorHAnsi"/>
        </w:rPr>
      </w:pPr>
    </w:p>
    <w:p w14:paraId="0CFF6FE9" w14:textId="2E521BDF" w:rsidR="00801899" w:rsidRPr="00BD151C" w:rsidRDefault="00801899" w:rsidP="005828D7">
      <w:pPr>
        <w:numPr>
          <w:ilvl w:val="0"/>
          <w:numId w:val="11"/>
        </w:numPr>
        <w:spacing w:line="240" w:lineRule="auto"/>
        <w:ind w:left="284" w:hanging="284"/>
        <w:jc w:val="both"/>
        <w:rPr>
          <w:rFonts w:cstheme="minorHAnsi"/>
          <w:b/>
          <w:bCs/>
        </w:rPr>
      </w:pPr>
      <w:r w:rsidRPr="00BD151C">
        <w:rPr>
          <w:rFonts w:cstheme="minorHAnsi"/>
          <w:b/>
          <w:bCs/>
        </w:rPr>
        <w:t>Klinikai vizsgálatok előrehaladott stádiumában álló vakcinák:</w:t>
      </w:r>
    </w:p>
    <w:p w14:paraId="3A2CE224" w14:textId="225551C0" w:rsidR="003B6297" w:rsidRDefault="003B6297" w:rsidP="005828D7">
      <w:pPr>
        <w:spacing w:line="240" w:lineRule="auto"/>
        <w:ind w:left="284"/>
        <w:jc w:val="both"/>
        <w:rPr>
          <w:rFonts w:cstheme="minorHAnsi"/>
        </w:rPr>
      </w:pPr>
      <w:r w:rsidRPr="00BD151C">
        <w:rPr>
          <w:rFonts w:cstheme="minorHAnsi"/>
        </w:rPr>
        <w:t>A rendelkezésre álló információk hat</w:t>
      </w:r>
      <w:r w:rsidR="005F1451" w:rsidRPr="00BD151C">
        <w:rPr>
          <w:rFonts w:cstheme="minorHAnsi"/>
        </w:rPr>
        <w:t>é</w:t>
      </w:r>
      <w:r w:rsidRPr="00BD151C">
        <w:rPr>
          <w:rFonts w:cstheme="minorHAnsi"/>
        </w:rPr>
        <w:t>konyság és biztonságosság tekintetében korlátozottak, III. fázisú klinikai vizsgálatok adatai nem ismertek.</w:t>
      </w:r>
    </w:p>
    <w:p w14:paraId="4F9A0480" w14:textId="50D8DC0D" w:rsidR="002A1733" w:rsidRPr="005B67D2" w:rsidRDefault="002A1733" w:rsidP="005828D7">
      <w:pPr>
        <w:spacing w:after="0" w:line="240" w:lineRule="auto"/>
        <w:jc w:val="both"/>
        <w:rPr>
          <w:rFonts w:cstheme="minorHAnsi"/>
          <w:b/>
          <w:bCs/>
        </w:rPr>
      </w:pPr>
    </w:p>
    <w:p w14:paraId="24C73932" w14:textId="67F904AB" w:rsidR="000E5A70" w:rsidRPr="00BD151C" w:rsidRDefault="000E5A70" w:rsidP="005828D7">
      <w:pPr>
        <w:numPr>
          <w:ilvl w:val="0"/>
          <w:numId w:val="13"/>
        </w:numPr>
        <w:spacing w:after="0" w:line="240" w:lineRule="auto"/>
        <w:ind w:left="426" w:hanging="142"/>
        <w:jc w:val="both"/>
        <w:rPr>
          <w:rFonts w:cstheme="minorHAnsi"/>
          <w:b/>
          <w:bCs/>
        </w:rPr>
      </w:pPr>
      <w:r w:rsidRPr="00BD151C">
        <w:rPr>
          <w:rFonts w:cstheme="minorHAnsi"/>
          <w:b/>
          <w:bCs/>
        </w:rPr>
        <w:t>NVX-CoV2373 (Novavax)</w:t>
      </w:r>
    </w:p>
    <w:p w14:paraId="40716171" w14:textId="280EF157" w:rsidR="00801899" w:rsidRPr="00BD151C" w:rsidRDefault="00801899" w:rsidP="005828D7">
      <w:pPr>
        <w:spacing w:after="0" w:line="240" w:lineRule="auto"/>
        <w:ind w:left="426"/>
        <w:jc w:val="both"/>
        <w:rPr>
          <w:rFonts w:cstheme="minorHAnsi"/>
        </w:rPr>
      </w:pPr>
      <w:r w:rsidRPr="00BD151C">
        <w:rPr>
          <w:rFonts w:cstheme="minorHAnsi"/>
          <w:i/>
          <w:iCs/>
        </w:rPr>
        <w:t>Rekombináns</w:t>
      </w:r>
      <w:r w:rsidR="00D434FA" w:rsidRPr="00BD151C">
        <w:rPr>
          <w:rFonts w:cstheme="minorHAnsi"/>
          <w:i/>
          <w:iCs/>
        </w:rPr>
        <w:t xml:space="preserve"> </w:t>
      </w:r>
      <w:r w:rsidRPr="00BD151C">
        <w:rPr>
          <w:rFonts w:cstheme="minorHAnsi"/>
          <w:i/>
          <w:iCs/>
        </w:rPr>
        <w:t>tüskefehérje-alapú alegységvakcina:</w:t>
      </w:r>
      <w:r w:rsidR="000E5A70" w:rsidRPr="00BD151C">
        <w:rPr>
          <w:rFonts w:cstheme="minorHAnsi"/>
        </w:rPr>
        <w:t xml:space="preserve"> </w:t>
      </w:r>
      <w:r w:rsidRPr="00BD151C">
        <w:rPr>
          <w:rFonts w:cstheme="minorHAnsi"/>
        </w:rPr>
        <w:t>Rekombináns</w:t>
      </w:r>
      <w:r w:rsidR="00D434FA" w:rsidRPr="00BD151C">
        <w:rPr>
          <w:rFonts w:cstheme="minorHAnsi"/>
        </w:rPr>
        <w:t xml:space="preserve"> </w:t>
      </w:r>
      <w:r w:rsidRPr="00BD151C">
        <w:rPr>
          <w:rFonts w:cstheme="minorHAnsi"/>
        </w:rPr>
        <w:t>nanorészecske</w:t>
      </w:r>
      <w:r w:rsidR="00D434FA" w:rsidRPr="00BD151C">
        <w:rPr>
          <w:rFonts w:cstheme="minorHAnsi"/>
        </w:rPr>
        <w:t xml:space="preserve"> </w:t>
      </w:r>
      <w:r w:rsidRPr="00BD151C">
        <w:rPr>
          <w:rFonts w:cstheme="minorHAnsi"/>
        </w:rPr>
        <w:t>technológiával a SARS-CoV-2 génállományából állítják elő az antigénként szolgáló tüskefehérjét. A fehérje többféle</w:t>
      </w:r>
      <w:r w:rsidR="00D434FA" w:rsidRPr="00BD151C">
        <w:rPr>
          <w:rFonts w:cstheme="minorHAnsi"/>
        </w:rPr>
        <w:t xml:space="preserve"> </w:t>
      </w:r>
      <w:r w:rsidRPr="00BD151C">
        <w:rPr>
          <w:rFonts w:cstheme="minorHAnsi"/>
        </w:rPr>
        <w:t>expressziós</w:t>
      </w:r>
      <w:r w:rsidR="00D434FA" w:rsidRPr="00BD151C">
        <w:rPr>
          <w:rFonts w:cstheme="minorHAnsi"/>
        </w:rPr>
        <w:t xml:space="preserve"> </w:t>
      </w:r>
      <w:r w:rsidRPr="00BD151C">
        <w:rPr>
          <w:rFonts w:cstheme="minorHAnsi"/>
        </w:rPr>
        <w:t>rendszerben előállítható, pl. rovarsejtben, emlőssejtben, élesztőben, növényekben. Az előállított</w:t>
      </w:r>
      <w:r w:rsidR="5978A80C" w:rsidRPr="00BD151C">
        <w:rPr>
          <w:rFonts w:cstheme="minorHAnsi"/>
        </w:rPr>
        <w:t xml:space="preserve"> </w:t>
      </w:r>
      <w:r w:rsidRPr="00BD151C">
        <w:rPr>
          <w:rFonts w:cstheme="minorHAnsi"/>
        </w:rPr>
        <w:t>fehérjét</w:t>
      </w:r>
      <w:r w:rsidR="00D434FA" w:rsidRPr="00BD151C">
        <w:rPr>
          <w:rFonts w:cstheme="minorHAnsi"/>
        </w:rPr>
        <w:t xml:space="preserve"> </w:t>
      </w:r>
      <w:r w:rsidRPr="00BD151C">
        <w:rPr>
          <w:rFonts w:cstheme="minorHAnsi"/>
        </w:rPr>
        <w:t>adjuvánshoz</w:t>
      </w:r>
      <w:r w:rsidR="00D434FA" w:rsidRPr="00BD151C">
        <w:rPr>
          <w:rFonts w:cstheme="minorHAnsi"/>
        </w:rPr>
        <w:t xml:space="preserve"> </w:t>
      </w:r>
      <w:r w:rsidRPr="00BD151C">
        <w:rPr>
          <w:rFonts w:cstheme="minorHAnsi"/>
        </w:rPr>
        <w:t>kötik.</w:t>
      </w:r>
      <w:r w:rsidR="00D434FA" w:rsidRPr="00BD151C">
        <w:rPr>
          <w:rFonts w:cstheme="minorHAnsi"/>
        </w:rPr>
        <w:t xml:space="preserve"> </w:t>
      </w:r>
      <w:r w:rsidRPr="00BD151C">
        <w:rPr>
          <w:rFonts w:cstheme="minorHAnsi"/>
        </w:rPr>
        <w:t>Preklinikai</w:t>
      </w:r>
      <w:r w:rsidR="00D434FA" w:rsidRPr="00BD151C">
        <w:rPr>
          <w:rFonts w:cstheme="minorHAnsi"/>
        </w:rPr>
        <w:t xml:space="preserve"> </w:t>
      </w:r>
      <w:r w:rsidRPr="00BD151C">
        <w:rPr>
          <w:rFonts w:cstheme="minorHAnsi"/>
        </w:rPr>
        <w:t>vizsgálatok eredményei alapján az előállított fehérje hatékonyan tud kötődni humán receptorához.</w:t>
      </w:r>
    </w:p>
    <w:p w14:paraId="4E7B341B" w14:textId="62AB7CF0" w:rsidR="00801899" w:rsidRDefault="00801899" w:rsidP="005828D7">
      <w:pPr>
        <w:spacing w:after="0" w:line="240" w:lineRule="auto"/>
        <w:ind w:left="426"/>
        <w:jc w:val="both"/>
        <w:rPr>
          <w:rFonts w:cstheme="minorHAnsi"/>
        </w:rPr>
      </w:pPr>
      <w:r w:rsidRPr="00BD151C">
        <w:rPr>
          <w:rFonts w:cstheme="minorHAnsi"/>
        </w:rPr>
        <w:t>Fázis III</w:t>
      </w:r>
      <w:r w:rsidR="1912047C" w:rsidRPr="00BD151C">
        <w:rPr>
          <w:rFonts w:cstheme="minorHAnsi"/>
        </w:rPr>
        <w:t>.</w:t>
      </w:r>
      <w:r w:rsidRPr="00BD151C">
        <w:rPr>
          <w:rFonts w:cstheme="minorHAnsi"/>
        </w:rPr>
        <w:t xml:space="preserve"> klinikai vizsgálat alatt áll. Két injekcióból áll</w:t>
      </w:r>
      <w:r w:rsidR="4171C8B6" w:rsidRPr="00BD151C">
        <w:rPr>
          <w:rFonts w:cstheme="minorHAnsi"/>
        </w:rPr>
        <w:t>,</w:t>
      </w:r>
      <w:r w:rsidRPr="00BD151C">
        <w:rPr>
          <w:rFonts w:cstheme="minorHAnsi"/>
        </w:rPr>
        <w:t xml:space="preserve"> 21 nap különbséggel beadva.</w:t>
      </w:r>
    </w:p>
    <w:p w14:paraId="67E4E63E" w14:textId="77777777" w:rsidR="002A1733" w:rsidRPr="00BD151C" w:rsidRDefault="002A1733" w:rsidP="005828D7">
      <w:pPr>
        <w:spacing w:after="0" w:line="240" w:lineRule="auto"/>
        <w:jc w:val="both"/>
        <w:rPr>
          <w:rFonts w:cstheme="minorHAnsi"/>
        </w:rPr>
      </w:pPr>
    </w:p>
    <w:p w14:paraId="174BAD84" w14:textId="07C951CE" w:rsidR="003B6297" w:rsidRPr="00BD151C" w:rsidRDefault="003B6297" w:rsidP="005828D7">
      <w:pPr>
        <w:spacing w:line="240" w:lineRule="auto"/>
        <w:jc w:val="both"/>
        <w:rPr>
          <w:rFonts w:cstheme="minorHAnsi"/>
          <w:b/>
          <w:bCs/>
        </w:rPr>
      </w:pPr>
      <w:r w:rsidRPr="00BD151C">
        <w:rPr>
          <w:rFonts w:cstheme="minorHAnsi"/>
          <w:b/>
          <w:bCs/>
        </w:rPr>
        <w:t>Megfontolások neuroimmunológiai betegségekben</w:t>
      </w:r>
    </w:p>
    <w:p w14:paraId="42ACAC3C" w14:textId="3827DAC7" w:rsidR="00801899" w:rsidRPr="00BD151C" w:rsidRDefault="00CE0EA4" w:rsidP="005828D7">
      <w:pPr>
        <w:spacing w:line="240" w:lineRule="auto"/>
        <w:jc w:val="both"/>
        <w:rPr>
          <w:rFonts w:cstheme="minorHAnsi"/>
        </w:rPr>
      </w:pPr>
      <w:r w:rsidRPr="00CE0EA4">
        <w:rPr>
          <w:rFonts w:cstheme="minorHAnsi"/>
          <w:highlight w:val="yellow"/>
        </w:rPr>
        <w:t>A n</w:t>
      </w:r>
      <w:r w:rsidR="00570944" w:rsidRPr="00CE0EA4">
        <w:rPr>
          <w:rFonts w:cstheme="minorHAnsi"/>
          <w:highlight w:val="yellow"/>
        </w:rPr>
        <w:t xml:space="preserve">euroimmunológiai betegséggel élő és </w:t>
      </w:r>
      <w:r w:rsidRPr="00CE0EA4">
        <w:rPr>
          <w:rFonts w:cstheme="minorHAnsi"/>
          <w:highlight w:val="yellow"/>
        </w:rPr>
        <w:t xml:space="preserve">az </w:t>
      </w:r>
      <w:r w:rsidR="00570944" w:rsidRPr="00CE0EA4">
        <w:rPr>
          <w:rFonts w:cstheme="minorHAnsi"/>
          <w:highlight w:val="yellow"/>
        </w:rPr>
        <w:t>immunmoduláns/immunszuppresszív kezelés alatt álló betegekben a COVID-19 vakcinák hatékonyságáról és biztonságosságáról j</w:t>
      </w:r>
      <w:r w:rsidR="00801899" w:rsidRPr="00CE0EA4">
        <w:rPr>
          <w:rFonts w:cstheme="minorHAnsi"/>
          <w:highlight w:val="yellow"/>
        </w:rPr>
        <w:t xml:space="preserve">elenleg </w:t>
      </w:r>
      <w:r w:rsidR="008D66D5" w:rsidRPr="00CE0EA4">
        <w:rPr>
          <w:rFonts w:cstheme="minorHAnsi"/>
          <w:highlight w:val="yellow"/>
        </w:rPr>
        <w:t>korlátozott</w:t>
      </w:r>
      <w:r w:rsidR="00930142">
        <w:rPr>
          <w:rFonts w:cstheme="minorHAnsi"/>
          <w:highlight w:val="yellow"/>
        </w:rPr>
        <w:t>an állnak adatok</w:t>
      </w:r>
      <w:r w:rsidR="008D66D5" w:rsidRPr="00CE0EA4">
        <w:rPr>
          <w:rFonts w:cstheme="minorHAnsi"/>
          <w:highlight w:val="yellow"/>
        </w:rPr>
        <w:t xml:space="preserve"> </w:t>
      </w:r>
      <w:r w:rsidR="00801899" w:rsidRPr="00CE0EA4">
        <w:rPr>
          <w:rFonts w:cstheme="minorHAnsi"/>
          <w:highlight w:val="yellow"/>
        </w:rPr>
        <w:t>rendelkezésre</w:t>
      </w:r>
      <w:r w:rsidR="00570944" w:rsidRPr="00CE0EA4">
        <w:rPr>
          <w:rFonts w:cstheme="minorHAnsi"/>
          <w:highlight w:val="yellow"/>
        </w:rPr>
        <w:t>.</w:t>
      </w:r>
      <w:r w:rsidR="00801899" w:rsidRPr="00CE0EA4">
        <w:rPr>
          <w:rFonts w:cstheme="minorHAnsi"/>
          <w:highlight w:val="yellow"/>
        </w:rPr>
        <w:t xml:space="preserve"> </w:t>
      </w:r>
      <w:r w:rsidR="00570944" w:rsidRPr="00CE0EA4">
        <w:rPr>
          <w:rFonts w:cstheme="minorHAnsi"/>
          <w:highlight w:val="yellow"/>
        </w:rPr>
        <w:t xml:space="preserve">Ezek az információk a betegségmódosító/immunszuppresszív kezelések alatt álló betegek </w:t>
      </w:r>
      <w:r w:rsidRPr="00CE0EA4">
        <w:rPr>
          <w:rFonts w:cstheme="minorHAnsi"/>
          <w:highlight w:val="yellow"/>
        </w:rPr>
        <w:t xml:space="preserve">más, </w:t>
      </w:r>
      <w:r w:rsidR="00570944" w:rsidRPr="00CE0EA4">
        <w:rPr>
          <w:rFonts w:cstheme="minorHAnsi"/>
          <w:highlight w:val="yellow"/>
        </w:rPr>
        <w:t xml:space="preserve">korábban létezett vakcinákra </w:t>
      </w:r>
      <w:r w:rsidR="00372966" w:rsidRPr="00CE0EA4">
        <w:rPr>
          <w:rFonts w:cstheme="minorHAnsi"/>
          <w:highlight w:val="yellow"/>
        </w:rPr>
        <w:t>adott immunválaszát vizsgáló tanulmány</w:t>
      </w:r>
      <w:r w:rsidR="00930142">
        <w:rPr>
          <w:rFonts w:cstheme="minorHAnsi"/>
          <w:highlight w:val="yellow"/>
        </w:rPr>
        <w:t>o</w:t>
      </w:r>
      <w:r w:rsidRPr="00CE0EA4">
        <w:rPr>
          <w:rFonts w:cstheme="minorHAnsi"/>
          <w:highlight w:val="yellow"/>
        </w:rPr>
        <w:t>k</w:t>
      </w:r>
      <w:r w:rsidR="00372966" w:rsidRPr="00CE0EA4">
        <w:rPr>
          <w:rFonts w:cstheme="minorHAnsi"/>
          <w:highlight w:val="yellow"/>
        </w:rPr>
        <w:t xml:space="preserve"> eredményein, </w:t>
      </w:r>
      <w:r w:rsidR="00801899" w:rsidRPr="00CE0EA4">
        <w:rPr>
          <w:rFonts w:cstheme="minorHAnsi"/>
          <w:highlight w:val="yellow"/>
        </w:rPr>
        <w:t>az</w:t>
      </w:r>
      <w:r w:rsidR="00D434FA" w:rsidRPr="00CE0EA4">
        <w:rPr>
          <w:rFonts w:cstheme="minorHAnsi"/>
          <w:highlight w:val="yellow"/>
        </w:rPr>
        <w:t xml:space="preserve"> </w:t>
      </w:r>
      <w:r w:rsidR="00801899" w:rsidRPr="00CE0EA4">
        <w:rPr>
          <w:rFonts w:cstheme="minorHAnsi"/>
          <w:highlight w:val="yellow"/>
        </w:rPr>
        <w:t>újonnan</w:t>
      </w:r>
      <w:r w:rsidR="00D434FA" w:rsidRPr="00CE0EA4">
        <w:rPr>
          <w:rFonts w:cstheme="minorHAnsi"/>
          <w:highlight w:val="yellow"/>
        </w:rPr>
        <w:t xml:space="preserve"> </w:t>
      </w:r>
      <w:r w:rsidR="00801899" w:rsidRPr="00CE0EA4">
        <w:rPr>
          <w:rFonts w:cstheme="minorHAnsi"/>
          <w:highlight w:val="yellow"/>
        </w:rPr>
        <w:t xml:space="preserve">kifejlesztett vakcinák </w:t>
      </w:r>
      <w:r w:rsidR="18677501" w:rsidRPr="00CE0EA4">
        <w:rPr>
          <w:rFonts w:cstheme="minorHAnsi"/>
          <w:highlight w:val="yellow"/>
        </w:rPr>
        <w:t>hatás</w:t>
      </w:r>
      <w:r w:rsidR="00801899" w:rsidRPr="00CE0EA4">
        <w:rPr>
          <w:rFonts w:cstheme="minorHAnsi"/>
          <w:highlight w:val="yellow"/>
        </w:rPr>
        <w:t>mechanizmusának ismeret</w:t>
      </w:r>
      <w:r w:rsidR="0DB5DCDE" w:rsidRPr="00CE0EA4">
        <w:rPr>
          <w:rFonts w:cstheme="minorHAnsi"/>
          <w:highlight w:val="yellow"/>
        </w:rPr>
        <w:t>én</w:t>
      </w:r>
      <w:r w:rsidR="00570944" w:rsidRPr="00CE0EA4">
        <w:rPr>
          <w:rFonts w:cstheme="minorHAnsi"/>
          <w:highlight w:val="yellow"/>
        </w:rPr>
        <w:t>, valamint a</w:t>
      </w:r>
      <w:r w:rsidRPr="00CE0EA4">
        <w:rPr>
          <w:rFonts w:cstheme="minorHAnsi"/>
          <w:highlight w:val="yellow"/>
        </w:rPr>
        <w:t xml:space="preserve">z </w:t>
      </w:r>
      <w:r w:rsidR="00A42010">
        <w:rPr>
          <w:rFonts w:cstheme="minorHAnsi"/>
          <w:highlight w:val="yellow"/>
        </w:rPr>
        <w:t>leg</w:t>
      </w:r>
      <w:r w:rsidRPr="00CE0EA4">
        <w:rPr>
          <w:rFonts w:cstheme="minorHAnsi"/>
          <w:highlight w:val="yellow"/>
        </w:rPr>
        <w:t>újabban megjelent, a COVID-19 vakcinák biztonságosságát és hatékonyságát vizsgáló tanulmányok</w:t>
      </w:r>
      <w:r w:rsidR="000F464F">
        <w:rPr>
          <w:rFonts w:cstheme="minorHAnsi"/>
          <w:highlight w:val="yellow"/>
        </w:rPr>
        <w:t xml:space="preserve"> eredményein</w:t>
      </w:r>
      <w:r w:rsidR="00D434FA" w:rsidRPr="00CE0EA4">
        <w:rPr>
          <w:rFonts w:cstheme="minorHAnsi"/>
          <w:highlight w:val="yellow"/>
        </w:rPr>
        <w:t xml:space="preserve"> </w:t>
      </w:r>
      <w:r w:rsidR="1BDDCFEB" w:rsidRPr="00CE0EA4">
        <w:rPr>
          <w:rFonts w:cstheme="minorHAnsi"/>
          <w:highlight w:val="yellow"/>
        </w:rPr>
        <w:t>alap</w:t>
      </w:r>
      <w:r w:rsidR="00570944" w:rsidRPr="00CE0EA4">
        <w:rPr>
          <w:rFonts w:cstheme="minorHAnsi"/>
          <w:highlight w:val="yellow"/>
        </w:rPr>
        <w:t>szik</w:t>
      </w:r>
      <w:r w:rsidR="00801899" w:rsidRPr="00570944">
        <w:rPr>
          <w:rFonts w:cstheme="minorHAnsi"/>
        </w:rPr>
        <w:t>.</w:t>
      </w:r>
    </w:p>
    <w:p w14:paraId="5BCAE5A8" w14:textId="5D2B8278" w:rsidR="008A34B1" w:rsidRDefault="008A34B1" w:rsidP="005828D7">
      <w:pPr>
        <w:spacing w:line="240" w:lineRule="auto"/>
        <w:jc w:val="both"/>
        <w:rPr>
          <w:rFonts w:cstheme="minorHAnsi"/>
        </w:rPr>
      </w:pPr>
    </w:p>
    <w:p w14:paraId="68B3C959" w14:textId="501BF676" w:rsidR="00654A5D" w:rsidRPr="00CE2AEB" w:rsidRDefault="00654A5D" w:rsidP="005828D7">
      <w:pPr>
        <w:spacing w:line="240" w:lineRule="auto"/>
        <w:jc w:val="both"/>
        <w:rPr>
          <w:rFonts w:cstheme="minorHAnsi"/>
        </w:rPr>
      </w:pPr>
      <w:r w:rsidRPr="00CE2AEB">
        <w:rPr>
          <w:rFonts w:cstheme="minorHAnsi"/>
        </w:rPr>
        <w:lastRenderedPageBreak/>
        <w:t xml:space="preserve">A Magyarországon forgalomba került vakcinák </w:t>
      </w:r>
      <w:r w:rsidRPr="00CE2AEB">
        <w:rPr>
          <w:rFonts w:cstheme="minorHAnsi"/>
          <w:b/>
          <w:bCs/>
          <w:i/>
          <w:iCs/>
        </w:rPr>
        <w:t>biztonságosság</w:t>
      </w:r>
      <w:r w:rsidRPr="00CE2AEB">
        <w:rPr>
          <w:rFonts w:cstheme="minorHAnsi"/>
        </w:rPr>
        <w:t>át illetően a vakcinák OGYÉI által kibocsátott alkalmazási előiratai és alkalmazási iránymutatói neuroimmunológiai betegségek vonatkozásában a következőket tartalmazzák:</w:t>
      </w:r>
    </w:p>
    <w:p w14:paraId="7D7927E0" w14:textId="6C886890" w:rsidR="00654A5D" w:rsidRPr="00CE2AEB" w:rsidRDefault="00654A5D" w:rsidP="005828D7">
      <w:pPr>
        <w:pStyle w:val="Listaszerbekezds"/>
        <w:numPr>
          <w:ilvl w:val="0"/>
          <w:numId w:val="25"/>
        </w:numPr>
        <w:spacing w:line="240" w:lineRule="auto"/>
        <w:ind w:left="426"/>
        <w:contextualSpacing w:val="0"/>
        <w:jc w:val="both"/>
        <w:rPr>
          <w:rFonts w:cstheme="minorHAnsi"/>
        </w:rPr>
      </w:pPr>
      <w:r w:rsidRPr="00CE2AEB">
        <w:rPr>
          <w:rFonts w:cstheme="minorHAnsi"/>
        </w:rPr>
        <w:t>A</w:t>
      </w:r>
      <w:r w:rsidR="00550A12" w:rsidRPr="00CE2AEB">
        <w:rPr>
          <w:rFonts w:cstheme="minorHAnsi"/>
        </w:rPr>
        <w:t xml:space="preserve"> Pfizer-BionTech, a Moderna, és az AstraZeneca COVID-19 vakcinák </w:t>
      </w:r>
      <w:r w:rsidRPr="00CE2AEB">
        <w:rPr>
          <w:rFonts w:cstheme="minorHAnsi"/>
        </w:rPr>
        <w:t xml:space="preserve">neuroimmunológiai betegségben nem ellenjavalltak és </w:t>
      </w:r>
      <w:r w:rsidR="00801899" w:rsidRPr="00CE2AEB">
        <w:rPr>
          <w:rFonts w:cstheme="minorHAnsi"/>
        </w:rPr>
        <w:t>feltehetően biztonsággal alkalmazh</w:t>
      </w:r>
      <w:r w:rsidR="00372966" w:rsidRPr="00CE2AEB">
        <w:rPr>
          <w:rFonts w:cstheme="minorHAnsi"/>
        </w:rPr>
        <w:t>ató</w:t>
      </w:r>
      <w:r w:rsidR="00801899" w:rsidRPr="00CE2AEB">
        <w:rPr>
          <w:rFonts w:cstheme="minorHAnsi"/>
        </w:rPr>
        <w:t>k.</w:t>
      </w:r>
    </w:p>
    <w:p w14:paraId="70545CE5" w14:textId="6CA3E5A0" w:rsidR="007B7243" w:rsidRPr="00CE2AEB" w:rsidRDefault="008D5015" w:rsidP="005828D7">
      <w:pPr>
        <w:pStyle w:val="Listaszerbekezds"/>
        <w:numPr>
          <w:ilvl w:val="0"/>
          <w:numId w:val="25"/>
        </w:numPr>
        <w:spacing w:line="240" w:lineRule="auto"/>
        <w:ind w:left="426"/>
        <w:contextualSpacing w:val="0"/>
        <w:jc w:val="both"/>
        <w:rPr>
          <w:rFonts w:cstheme="minorHAnsi"/>
        </w:rPr>
      </w:pPr>
      <w:r w:rsidRPr="00CE2AEB">
        <w:rPr>
          <w:rFonts w:cstheme="minorHAnsi"/>
        </w:rPr>
        <w:t>A Gam-COVID-VAC</w:t>
      </w:r>
      <w:r w:rsidR="00EA5453">
        <w:rPr>
          <w:rFonts w:cstheme="minorHAnsi"/>
        </w:rPr>
        <w:t xml:space="preserve"> (Sputnyik V</w:t>
      </w:r>
      <w:r w:rsidRPr="00CE2AEB">
        <w:rPr>
          <w:rFonts w:cstheme="minorHAnsi"/>
        </w:rPr>
        <w:t xml:space="preserve">) </w:t>
      </w:r>
      <w:r w:rsidR="00654A5D" w:rsidRPr="00CE2AEB">
        <w:rPr>
          <w:rFonts w:cstheme="minorHAnsi"/>
        </w:rPr>
        <w:t xml:space="preserve">vakcina </w:t>
      </w:r>
      <w:r w:rsidRPr="00CE2AEB">
        <w:rPr>
          <w:rFonts w:cstheme="minorHAnsi"/>
        </w:rPr>
        <w:t xml:space="preserve">az OGYÉI </w:t>
      </w:r>
      <w:r w:rsidR="007B7243" w:rsidRPr="00CE2AEB">
        <w:rPr>
          <w:rFonts w:cstheme="minorHAnsi"/>
        </w:rPr>
        <w:t xml:space="preserve">alkalmazási </w:t>
      </w:r>
      <w:r w:rsidRPr="00CE2AEB">
        <w:rPr>
          <w:rFonts w:cstheme="minorHAnsi"/>
        </w:rPr>
        <w:t>iránymutat</w:t>
      </w:r>
      <w:r w:rsidR="007B7243" w:rsidRPr="00CE2AEB">
        <w:rPr>
          <w:rFonts w:cstheme="minorHAnsi"/>
        </w:rPr>
        <w:t xml:space="preserve">ója alapján </w:t>
      </w:r>
      <w:r w:rsidR="00EA5453" w:rsidRPr="00C80BD3">
        <w:rPr>
          <w:rFonts w:cstheme="minorHAnsi"/>
        </w:rPr>
        <w:t xml:space="preserve">autoimmun betegségben </w:t>
      </w:r>
      <w:r w:rsidR="00743B2D" w:rsidRPr="00C80BD3">
        <w:rPr>
          <w:rFonts w:cstheme="minorHAnsi"/>
        </w:rPr>
        <w:t xml:space="preserve">is alkalmazható, azonban </w:t>
      </w:r>
      <w:r w:rsidR="00EA5453" w:rsidRPr="00C80BD3">
        <w:rPr>
          <w:rFonts w:cstheme="minorHAnsi"/>
        </w:rPr>
        <w:t>a védőoltás beadásáról egyedileg, az előny-kockázat arány értékelése alapján kell döntést hozni</w:t>
      </w:r>
      <w:r w:rsidR="00743B2D" w:rsidRPr="00C80BD3">
        <w:rPr>
          <w:rFonts w:cstheme="minorHAnsi"/>
        </w:rPr>
        <w:t>. A védőoltás krónikus betegségek fellángolása esetén a gyógyulás vagy remisszió után 2-4 héttel adható be. Az alkalmazási iránymutató elővigyázatosságra hívja fel a figyelmet olyan betegek esetében</w:t>
      </w:r>
      <w:r w:rsidR="005828D7" w:rsidRPr="00C80BD3">
        <w:rPr>
          <w:rFonts w:cstheme="minorHAnsi"/>
        </w:rPr>
        <w:t xml:space="preserve">, </w:t>
      </w:r>
      <w:r w:rsidR="00EA5453" w:rsidRPr="00C80BD3">
        <w:rPr>
          <w:rFonts w:cstheme="minorHAnsi"/>
        </w:rPr>
        <w:t>akik autoimmun betegsége súlyos és életveszélyes állapotok kialakulásához vezethet.</w:t>
      </w:r>
    </w:p>
    <w:p w14:paraId="1AC17811" w14:textId="42E7BF75" w:rsidR="00801899" w:rsidRPr="00CE2AEB" w:rsidRDefault="008D5015" w:rsidP="005828D7">
      <w:pPr>
        <w:pStyle w:val="Listaszerbekezds"/>
        <w:numPr>
          <w:ilvl w:val="0"/>
          <w:numId w:val="25"/>
        </w:numPr>
        <w:spacing w:line="240" w:lineRule="auto"/>
        <w:ind w:left="426"/>
        <w:contextualSpacing w:val="0"/>
        <w:jc w:val="both"/>
        <w:rPr>
          <w:rFonts w:cstheme="minorHAnsi"/>
        </w:rPr>
      </w:pPr>
      <w:bookmarkStart w:id="1" w:name="_Hlk69749490"/>
      <w:r w:rsidRPr="00CE2AEB">
        <w:rPr>
          <w:rFonts w:cstheme="minorHAnsi"/>
        </w:rPr>
        <w:t>A kínai Sinopharm vakcina</w:t>
      </w:r>
      <w:r w:rsidR="006D2962" w:rsidRPr="00CE2AEB">
        <w:rPr>
          <w:rFonts w:cstheme="minorHAnsi"/>
        </w:rPr>
        <w:t xml:space="preserve"> alkalmazása szigorúan tilos abban az esetben, ha a krónikus betegség nincs megfelelően egyensúlyban, vagy a krónikus betegség akut fellángolása esetén</w:t>
      </w:r>
      <w:bookmarkEnd w:id="1"/>
      <w:r w:rsidR="006D2962" w:rsidRPr="00CE2AEB">
        <w:rPr>
          <w:rFonts w:cstheme="minorHAnsi"/>
        </w:rPr>
        <w:t>.</w:t>
      </w:r>
    </w:p>
    <w:p w14:paraId="0D52DD1B" w14:textId="64990872" w:rsidR="003B6297" w:rsidRDefault="003B6297" w:rsidP="005828D7">
      <w:pPr>
        <w:spacing w:line="240" w:lineRule="auto"/>
        <w:jc w:val="both"/>
        <w:rPr>
          <w:rFonts w:cstheme="minorHAnsi"/>
          <w:b/>
          <w:bCs/>
        </w:rPr>
      </w:pPr>
    </w:p>
    <w:p w14:paraId="5DE5E27E" w14:textId="242169E6" w:rsidR="0038320D" w:rsidRPr="0038320D" w:rsidRDefault="0038320D" w:rsidP="005828D7">
      <w:pPr>
        <w:spacing w:line="240" w:lineRule="auto"/>
        <w:jc w:val="both"/>
        <w:rPr>
          <w:rFonts w:cstheme="minorHAnsi"/>
        </w:rPr>
      </w:pPr>
      <w:r w:rsidRPr="00C80BD3">
        <w:rPr>
          <w:rFonts w:cstheme="minorHAnsi"/>
        </w:rPr>
        <w:t>Az ajánlás készítésének időpontjáig világszerte az mRNS vakcinák alkalmazásával gyűlt össze a legtöbb tapasztalat neuroimmunológiai betegekben</w:t>
      </w:r>
      <w:r w:rsidR="00F07A2B" w:rsidRPr="00C80BD3">
        <w:rPr>
          <w:rFonts w:cstheme="minorHAnsi"/>
        </w:rPr>
        <w:t>. A</w:t>
      </w:r>
      <w:r w:rsidRPr="00C80BD3">
        <w:rPr>
          <w:rFonts w:cstheme="minorHAnsi"/>
        </w:rPr>
        <w:t xml:space="preserve"> jelenlegi adatok alapján ezek a vakcinák nyújtják a legnagyobb biztonságot, </w:t>
      </w:r>
      <w:r w:rsidR="00F07A2B" w:rsidRPr="00C80BD3">
        <w:rPr>
          <w:rFonts w:cstheme="minorHAnsi"/>
        </w:rPr>
        <w:t>ezért,</w:t>
      </w:r>
      <w:r w:rsidRPr="00C80BD3">
        <w:rPr>
          <w:rFonts w:cstheme="minorHAnsi"/>
        </w:rPr>
        <w:t xml:space="preserve"> ha a helyzet engedi, </w:t>
      </w:r>
      <w:r w:rsidR="00F07A2B" w:rsidRPr="00C80BD3">
        <w:rPr>
          <w:rFonts w:cstheme="minorHAnsi"/>
        </w:rPr>
        <w:t xml:space="preserve">neuroimmunológiai betegségben </w:t>
      </w:r>
      <w:r w:rsidRPr="00C80BD3">
        <w:rPr>
          <w:rFonts w:cstheme="minorHAnsi"/>
        </w:rPr>
        <w:t>ezzel a vakcinatípussal javasolt az oltás.</w:t>
      </w:r>
    </w:p>
    <w:p w14:paraId="3AF69782" w14:textId="585C5312" w:rsidR="0038320D" w:rsidRDefault="0038320D" w:rsidP="005828D7">
      <w:pPr>
        <w:spacing w:line="240" w:lineRule="auto"/>
        <w:jc w:val="both"/>
        <w:rPr>
          <w:rFonts w:cstheme="minorHAnsi"/>
          <w:b/>
          <w:bCs/>
        </w:rPr>
      </w:pPr>
    </w:p>
    <w:p w14:paraId="4EA4B1EA" w14:textId="77777777" w:rsidR="007371D4" w:rsidRPr="000F7AA9" w:rsidRDefault="007371D4" w:rsidP="007371D4">
      <w:pPr>
        <w:spacing w:line="240" w:lineRule="auto"/>
        <w:jc w:val="both"/>
        <w:rPr>
          <w:rFonts w:cstheme="minorHAnsi"/>
          <w:b/>
          <w:bCs/>
        </w:rPr>
      </w:pPr>
      <w:r w:rsidRPr="000F7AA9">
        <w:rPr>
          <w:rFonts w:cstheme="minorHAnsi"/>
          <w:b/>
          <w:bCs/>
          <w:highlight w:val="yellow"/>
        </w:rPr>
        <w:t xml:space="preserve">Extra </w:t>
      </w:r>
      <w:r>
        <w:rPr>
          <w:rFonts w:cstheme="minorHAnsi"/>
          <w:b/>
          <w:bCs/>
          <w:highlight w:val="yellow"/>
        </w:rPr>
        <w:t xml:space="preserve">dózis </w:t>
      </w:r>
      <w:r w:rsidRPr="000F7AA9">
        <w:rPr>
          <w:rFonts w:cstheme="minorHAnsi"/>
          <w:b/>
          <w:bCs/>
          <w:highlight w:val="yellow"/>
        </w:rPr>
        <w:t>COVID-19 vakcina adása</w:t>
      </w:r>
    </w:p>
    <w:p w14:paraId="325A50A9" w14:textId="77777777" w:rsidR="00780B0B" w:rsidRPr="003B6A06" w:rsidRDefault="00780B0B" w:rsidP="00780B0B">
      <w:pPr>
        <w:spacing w:line="240" w:lineRule="auto"/>
        <w:jc w:val="both"/>
        <w:rPr>
          <w:rFonts w:cstheme="minorHAnsi"/>
          <w:highlight w:val="yellow"/>
        </w:rPr>
      </w:pPr>
      <w:r w:rsidRPr="003B6A06">
        <w:rPr>
          <w:rFonts w:cstheme="minorHAnsi"/>
          <w:highlight w:val="yellow"/>
        </w:rPr>
        <w:t>Az EMA 2021. októberben kiadott ajánlása szerint normális immunrendszerű, 18-55 éves életkorú egyénekben a Comirnaty booster dózis megemeli az antitest-szintet, ha a 2. dózis után körülbelül 6 hónappal adják be.</w:t>
      </w:r>
    </w:p>
    <w:p w14:paraId="720340D8" w14:textId="77777777" w:rsidR="00780B0B" w:rsidRPr="003B6A06" w:rsidRDefault="00780B0B" w:rsidP="00780B0B">
      <w:pPr>
        <w:spacing w:line="240" w:lineRule="auto"/>
        <w:jc w:val="both"/>
        <w:rPr>
          <w:rFonts w:cstheme="minorHAnsi"/>
          <w:color w:val="000000" w:themeColor="text1"/>
          <w:highlight w:val="yellow"/>
        </w:rPr>
      </w:pPr>
      <w:r w:rsidRPr="003B6A06">
        <w:rPr>
          <w:rFonts w:cstheme="minorHAnsi"/>
          <w:color w:val="000000" w:themeColor="text1"/>
          <w:highlight w:val="yellow"/>
        </w:rPr>
        <w:t xml:space="preserve">Az Amerikai Egyesült Államokban a Centers for Disease Control and Prevention (CDC) ajánlása szerint az elsődleges oltási sor befejezését követően legalább 6 hónappal 3. (booster) oltás adása </w:t>
      </w:r>
      <w:r w:rsidRPr="003B6A06">
        <w:rPr>
          <w:rFonts w:cstheme="minorHAnsi"/>
          <w:b/>
          <w:bCs/>
          <w:i/>
          <w:iCs/>
          <w:color w:val="000000" w:themeColor="text1"/>
          <w:highlight w:val="yellow"/>
        </w:rPr>
        <w:t>szükséges</w:t>
      </w:r>
      <w:r w:rsidRPr="003B6A06">
        <w:rPr>
          <w:rFonts w:cstheme="minorHAnsi"/>
          <w:color w:val="000000" w:themeColor="text1"/>
          <w:highlight w:val="yellow"/>
        </w:rPr>
        <w:t xml:space="preserve">: 1. a </w:t>
      </w:r>
      <w:r w:rsidRPr="003B6A06">
        <w:rPr>
          <w:rFonts w:cstheme="minorHAnsi"/>
          <w:color w:val="000000" w:themeColor="text1"/>
          <w:highlight w:val="yellow"/>
        </w:rPr>
        <w:sym w:font="Symbol" w:char="F0B3"/>
      </w:r>
      <w:r w:rsidRPr="003B6A06">
        <w:rPr>
          <w:rFonts w:cstheme="minorHAnsi"/>
          <w:color w:val="000000" w:themeColor="text1"/>
          <w:highlight w:val="yellow"/>
        </w:rPr>
        <w:t xml:space="preserve">65 éves életkorú egyéneknek, 2. a </w:t>
      </w:r>
      <w:r w:rsidRPr="003B6A06">
        <w:rPr>
          <w:rFonts w:cstheme="minorHAnsi"/>
          <w:color w:val="000000" w:themeColor="text1"/>
          <w:highlight w:val="yellow"/>
        </w:rPr>
        <w:sym w:font="Symbol" w:char="F0B3"/>
      </w:r>
      <w:r w:rsidRPr="003B6A06">
        <w:rPr>
          <w:rFonts w:cstheme="minorHAnsi"/>
          <w:color w:val="000000" w:themeColor="text1"/>
          <w:highlight w:val="yellow"/>
        </w:rPr>
        <w:t>18 éves krónikus osztályokon és szociális otthonban gondozott és ott dolgozó egyéneknek, 3. azoknak az 50-64 éves életkorú egyéneknek, akik olyan kórállapottal élnek, mely súlyos lefolyású COVID-19 magas kockázatával társul.</w:t>
      </w:r>
    </w:p>
    <w:p w14:paraId="01DB8B45" w14:textId="77777777" w:rsidR="00780B0B" w:rsidRPr="003B6A06" w:rsidRDefault="00780B0B" w:rsidP="00780B0B">
      <w:pPr>
        <w:spacing w:line="240" w:lineRule="auto"/>
        <w:jc w:val="both"/>
        <w:rPr>
          <w:rFonts w:cstheme="minorHAnsi"/>
          <w:color w:val="000000" w:themeColor="text1"/>
          <w:highlight w:val="yellow"/>
        </w:rPr>
      </w:pPr>
      <w:r w:rsidRPr="003B6A06">
        <w:rPr>
          <w:rFonts w:cstheme="minorHAnsi"/>
          <w:color w:val="000000" w:themeColor="text1"/>
          <w:highlight w:val="yellow"/>
        </w:rPr>
        <w:t xml:space="preserve">A kockázat/haszon arány mérlegelése alapján nem korábban, mint 6 hónappal az elsődleges oltási sor befejezését követően 3. (booster) oltás </w:t>
      </w:r>
      <w:r w:rsidRPr="003B6A06">
        <w:rPr>
          <w:rFonts w:cstheme="minorHAnsi"/>
          <w:b/>
          <w:bCs/>
          <w:i/>
          <w:iCs/>
          <w:color w:val="000000" w:themeColor="text1"/>
          <w:highlight w:val="yellow"/>
        </w:rPr>
        <w:t>adható</w:t>
      </w:r>
      <w:r w:rsidRPr="003B6A06">
        <w:rPr>
          <w:rFonts w:cstheme="minorHAnsi"/>
          <w:color w:val="000000" w:themeColor="text1"/>
          <w:highlight w:val="yellow"/>
        </w:rPr>
        <w:t>: 1. azoknak az 18-49 éves életkorú egyéneknek, akik olyan kórállapottal élnek, mely súlyos lefolyású COVID-19 magas kockázatával társul, 2. 18-49 éves életkorú egyéneknek, akik kockázata foglalkozásukból adódóan magasabb a SARS-CoV-2 expozícióra és transzmisszióra.</w:t>
      </w:r>
    </w:p>
    <w:p w14:paraId="1F4A3A8C" w14:textId="0C2A874B" w:rsidR="007371D4" w:rsidRDefault="007371D4" w:rsidP="007371D4">
      <w:pPr>
        <w:spacing w:line="240" w:lineRule="auto"/>
        <w:jc w:val="both"/>
        <w:rPr>
          <w:rFonts w:cstheme="minorHAnsi"/>
          <w:highlight w:val="yellow"/>
        </w:rPr>
      </w:pPr>
      <w:r w:rsidRPr="003B6A06">
        <w:rPr>
          <w:rFonts w:cstheme="minorHAnsi"/>
          <w:highlight w:val="yellow"/>
        </w:rPr>
        <w:t>Az EMA 2021. októberben kiadott ajánlása szerint a súlyosan gyengült immunrendszerű betegek esetében mRNS vakcina (Comirnaty, Moderna) extra adagja</w:t>
      </w:r>
      <w:r w:rsidR="00753807" w:rsidRPr="003B6A06">
        <w:rPr>
          <w:rFonts w:cstheme="minorHAnsi"/>
          <w:highlight w:val="yellow"/>
        </w:rPr>
        <w:t xml:space="preserve"> (3. oltás)</w:t>
      </w:r>
      <w:r w:rsidRPr="003B6A06">
        <w:rPr>
          <w:rFonts w:cstheme="minorHAnsi"/>
          <w:highlight w:val="yellow"/>
        </w:rPr>
        <w:t xml:space="preserve"> adható a 2. vakcinadózis után </w:t>
      </w:r>
      <w:r w:rsidRPr="00C07614">
        <w:rPr>
          <w:rFonts w:cstheme="minorHAnsi"/>
          <w:highlight w:val="yellow"/>
        </w:rPr>
        <w:t>legalább 28 nappal.</w:t>
      </w:r>
      <w:r>
        <w:rPr>
          <w:rFonts w:cstheme="minorHAnsi"/>
          <w:highlight w:val="yellow"/>
        </w:rPr>
        <w:t xml:space="preserve"> </w:t>
      </w:r>
      <w:r w:rsidRPr="00C07614">
        <w:rPr>
          <w:rFonts w:cstheme="minorHAnsi"/>
          <w:highlight w:val="yellow"/>
        </w:rPr>
        <w:t>Feltételezhető, hogy a gyengült immunrendszerű betegekben</w:t>
      </w:r>
      <w:r>
        <w:rPr>
          <w:rFonts w:cstheme="minorHAnsi"/>
          <w:highlight w:val="yellow"/>
        </w:rPr>
        <w:t xml:space="preserve"> </w:t>
      </w:r>
      <w:r w:rsidRPr="00C07614">
        <w:rPr>
          <w:rFonts w:cstheme="minorHAnsi"/>
          <w:highlight w:val="yellow"/>
        </w:rPr>
        <w:t>az extra vakcinadózis emeli a vírus elleni antitesttermelő képességet</w:t>
      </w:r>
      <w:r>
        <w:rPr>
          <w:rFonts w:cstheme="minorHAnsi"/>
          <w:highlight w:val="yellow"/>
        </w:rPr>
        <w:t>,</w:t>
      </w:r>
      <w:r w:rsidRPr="00C07614">
        <w:rPr>
          <w:rFonts w:cstheme="minorHAnsi"/>
          <w:highlight w:val="yellow"/>
        </w:rPr>
        <w:t xml:space="preserve"> és bár nincs rá direkt bizonyíték, feltételezhető, hogy ez legalább is egyes </w:t>
      </w:r>
      <w:r w:rsidRPr="002F333B">
        <w:rPr>
          <w:rFonts w:cstheme="minorHAnsi"/>
          <w:highlight w:val="yellow"/>
        </w:rPr>
        <w:t>betegek</w:t>
      </w:r>
      <w:r>
        <w:rPr>
          <w:rFonts w:cstheme="minorHAnsi"/>
          <w:highlight w:val="yellow"/>
        </w:rPr>
        <w:t xml:space="preserve"> esetében</w:t>
      </w:r>
      <w:r w:rsidRPr="002F333B">
        <w:rPr>
          <w:rFonts w:cstheme="minorHAnsi"/>
          <w:highlight w:val="yellow"/>
        </w:rPr>
        <w:t xml:space="preserve"> növeli az immunvédelmet.</w:t>
      </w:r>
    </w:p>
    <w:p w14:paraId="0CA70B2A" w14:textId="106F41B7" w:rsidR="00780B0B" w:rsidRPr="00952884" w:rsidRDefault="00780B0B" w:rsidP="00780B0B">
      <w:pPr>
        <w:spacing w:line="240" w:lineRule="auto"/>
        <w:jc w:val="both"/>
        <w:rPr>
          <w:rFonts w:cstheme="minorHAnsi"/>
          <w:highlight w:val="yellow"/>
        </w:rPr>
      </w:pPr>
      <w:r>
        <w:rPr>
          <w:rFonts w:cstheme="minorHAnsi"/>
          <w:highlight w:val="yellow"/>
        </w:rPr>
        <w:t>A</w:t>
      </w:r>
      <w:r w:rsidRPr="00952884">
        <w:rPr>
          <w:rFonts w:cstheme="minorHAnsi"/>
          <w:highlight w:val="yellow"/>
        </w:rPr>
        <w:t>zoknak a</w:t>
      </w:r>
      <w:r>
        <w:rPr>
          <w:rFonts w:cstheme="minorHAnsi"/>
          <w:highlight w:val="yellow"/>
        </w:rPr>
        <w:t xml:space="preserve">z SM-es </w:t>
      </w:r>
      <w:r w:rsidRPr="00952884">
        <w:rPr>
          <w:rFonts w:cstheme="minorHAnsi"/>
          <w:highlight w:val="yellow"/>
        </w:rPr>
        <w:t>betegeknek, akiknél várhatóan nem alakul ki megfelelő immunválasz az első 2 vakcinadózis után</w:t>
      </w:r>
      <w:r>
        <w:rPr>
          <w:rFonts w:cstheme="minorHAnsi"/>
          <w:highlight w:val="yellow"/>
        </w:rPr>
        <w:t xml:space="preserve"> 3.</w:t>
      </w:r>
      <w:r w:rsidRPr="00952884">
        <w:rPr>
          <w:rFonts w:cstheme="minorHAnsi"/>
          <w:highlight w:val="yellow"/>
        </w:rPr>
        <w:t xml:space="preserve"> dózis </w:t>
      </w:r>
      <w:r>
        <w:rPr>
          <w:rFonts w:cstheme="minorHAnsi"/>
          <w:highlight w:val="yellow"/>
        </w:rPr>
        <w:t xml:space="preserve">mRNS </w:t>
      </w:r>
      <w:r w:rsidRPr="00952884">
        <w:rPr>
          <w:rFonts w:cstheme="minorHAnsi"/>
          <w:highlight w:val="yellow"/>
        </w:rPr>
        <w:t xml:space="preserve">COVID-19 vakcina adása javasolt </w:t>
      </w:r>
      <w:r>
        <w:rPr>
          <w:rFonts w:cstheme="minorHAnsi"/>
          <w:highlight w:val="yellow"/>
        </w:rPr>
        <w:t>a 2. oltás után legkorábban 2 hónappal</w:t>
      </w:r>
      <w:r w:rsidRPr="00952884">
        <w:rPr>
          <w:rFonts w:cstheme="minorHAnsi"/>
          <w:highlight w:val="yellow"/>
        </w:rPr>
        <w:t>.</w:t>
      </w:r>
      <w:r>
        <w:rPr>
          <w:rFonts w:cstheme="minorHAnsi"/>
          <w:highlight w:val="yellow"/>
        </w:rPr>
        <w:t xml:space="preserve"> Elsősorban a szfingozin 1-foszfát receptor modulátor, és az anti-CD20 terápia alatt álló betegek profitálhatnak kiegészítő vakcinadózis beadásából.</w:t>
      </w:r>
    </w:p>
    <w:p w14:paraId="31DA3D1A" w14:textId="77777777" w:rsidR="00780B0B" w:rsidRDefault="00780B0B" w:rsidP="00780B0B">
      <w:pPr>
        <w:spacing w:line="240" w:lineRule="auto"/>
        <w:jc w:val="both"/>
        <w:rPr>
          <w:rFonts w:cstheme="minorHAnsi"/>
          <w:highlight w:val="yellow"/>
        </w:rPr>
      </w:pPr>
      <w:r>
        <w:rPr>
          <w:rFonts w:cstheme="minorHAnsi"/>
          <w:highlight w:val="yellow"/>
        </w:rPr>
        <w:t>Rituximab kezelés esetén a 3. oltás bedása a következő tervezett rituximab dózis előtt 2-4 héttel javasolt (6 havonta adott kezelés esetén az 5. vagy 5,5. hónapnál).</w:t>
      </w:r>
    </w:p>
    <w:p w14:paraId="41CD4E3C" w14:textId="4AD4E473" w:rsidR="00E96247" w:rsidRDefault="007371D4" w:rsidP="007371D4">
      <w:pPr>
        <w:spacing w:line="240" w:lineRule="auto"/>
        <w:jc w:val="both"/>
        <w:rPr>
          <w:rFonts w:cstheme="minorHAnsi"/>
          <w:highlight w:val="yellow"/>
        </w:rPr>
      </w:pPr>
      <w:r w:rsidRPr="00952884">
        <w:rPr>
          <w:rFonts w:cstheme="minorHAnsi"/>
          <w:highlight w:val="yellow"/>
        </w:rPr>
        <w:lastRenderedPageBreak/>
        <w:t xml:space="preserve">Az Amerikai Reumatológiai Kollégium 2021 augusztusi konszenzus ajánlása szerint minden </w:t>
      </w:r>
      <w:r>
        <w:rPr>
          <w:rFonts w:cstheme="minorHAnsi"/>
          <w:highlight w:val="yellow"/>
        </w:rPr>
        <w:t>immunszup</w:t>
      </w:r>
      <w:r w:rsidR="0008129E">
        <w:rPr>
          <w:rFonts w:cstheme="minorHAnsi"/>
          <w:highlight w:val="yellow"/>
        </w:rPr>
        <w:t>p</w:t>
      </w:r>
      <w:r>
        <w:rPr>
          <w:rFonts w:cstheme="minorHAnsi"/>
          <w:highlight w:val="yellow"/>
        </w:rPr>
        <w:t xml:space="preserve">ressziv és immunmoduláns kezelés alatt álló autoimmun reumatológiai beteg esetében javasolt egyetlen kiegészítő </w:t>
      </w:r>
      <w:r w:rsidRPr="007371D4">
        <w:rPr>
          <w:rFonts w:cstheme="minorHAnsi"/>
          <w:i/>
          <w:iCs/>
          <w:highlight w:val="yellow"/>
        </w:rPr>
        <w:t>mRNS oltás</w:t>
      </w:r>
      <w:r>
        <w:rPr>
          <w:rFonts w:cstheme="minorHAnsi"/>
          <w:highlight w:val="yellow"/>
        </w:rPr>
        <w:t xml:space="preserve"> adása legalább 28 nappal a COVID-19 oltás 2. adagja után. </w:t>
      </w:r>
    </w:p>
    <w:p w14:paraId="2351951B" w14:textId="3B7B8A69" w:rsidR="00E96247" w:rsidRPr="002F333B" w:rsidRDefault="00DB3588" w:rsidP="007371D4">
      <w:pPr>
        <w:spacing w:line="240" w:lineRule="auto"/>
        <w:jc w:val="both"/>
        <w:rPr>
          <w:rFonts w:cstheme="minorHAnsi"/>
          <w:highlight w:val="yellow"/>
        </w:rPr>
      </w:pPr>
      <w:r>
        <w:rPr>
          <w:rFonts w:cstheme="minorHAnsi"/>
          <w:highlight w:val="yellow"/>
        </w:rPr>
        <w:t>Harmadik</w:t>
      </w:r>
      <w:r w:rsidR="00E96247">
        <w:rPr>
          <w:rFonts w:cstheme="minorHAnsi"/>
          <w:highlight w:val="yellow"/>
        </w:rPr>
        <w:t xml:space="preserve"> </w:t>
      </w:r>
      <w:r w:rsidR="00E95408">
        <w:rPr>
          <w:rFonts w:cstheme="minorHAnsi"/>
          <w:highlight w:val="yellow"/>
        </w:rPr>
        <w:t>oltásként</w:t>
      </w:r>
      <w:r w:rsidR="00151E0E">
        <w:rPr>
          <w:rFonts w:cstheme="minorHAnsi"/>
          <w:highlight w:val="yellow"/>
        </w:rPr>
        <w:t xml:space="preserve"> </w:t>
      </w:r>
      <w:r w:rsidR="00E96247">
        <w:rPr>
          <w:rFonts w:cstheme="minorHAnsi"/>
          <w:highlight w:val="yellow"/>
        </w:rPr>
        <w:t xml:space="preserve">mindig mRNS vakcina (Pfizer, Moderna) adása preferált </w:t>
      </w:r>
      <w:r w:rsidR="00151E0E">
        <w:rPr>
          <w:rFonts w:cstheme="minorHAnsi"/>
          <w:highlight w:val="yellow"/>
        </w:rPr>
        <w:t xml:space="preserve">mind </w:t>
      </w:r>
      <w:r w:rsidR="00E96247">
        <w:rPr>
          <w:rFonts w:cstheme="minorHAnsi"/>
          <w:highlight w:val="yellow"/>
        </w:rPr>
        <w:t xml:space="preserve">megelőző mRNS és </w:t>
      </w:r>
      <w:r w:rsidR="00151E0E">
        <w:rPr>
          <w:rFonts w:cstheme="minorHAnsi"/>
          <w:highlight w:val="yellow"/>
        </w:rPr>
        <w:t xml:space="preserve">mind </w:t>
      </w:r>
      <w:r w:rsidR="00E96247">
        <w:rPr>
          <w:rFonts w:cstheme="minorHAnsi"/>
          <w:highlight w:val="yellow"/>
        </w:rPr>
        <w:t>megelőző vektor-vakcinával végzett oltási sor esetén</w:t>
      </w:r>
      <w:r w:rsidR="00CB2CA1">
        <w:rPr>
          <w:rFonts w:cstheme="minorHAnsi"/>
          <w:highlight w:val="yellow"/>
        </w:rPr>
        <w:t xml:space="preserve"> is</w:t>
      </w:r>
      <w:r w:rsidR="00E96247">
        <w:rPr>
          <w:rFonts w:cstheme="minorHAnsi"/>
          <w:highlight w:val="yellow"/>
        </w:rPr>
        <w:t>.</w:t>
      </w:r>
      <w:r w:rsidR="00166A77">
        <w:rPr>
          <w:rFonts w:cstheme="minorHAnsi"/>
          <w:highlight w:val="yellow"/>
        </w:rPr>
        <w:t xml:space="preserve"> </w:t>
      </w:r>
      <w:r w:rsidR="00E96247">
        <w:rPr>
          <w:rFonts w:cstheme="minorHAnsi"/>
          <w:highlight w:val="yellow"/>
        </w:rPr>
        <w:t xml:space="preserve">A </w:t>
      </w:r>
      <w:r w:rsidR="009D0AEF">
        <w:rPr>
          <w:rFonts w:cstheme="minorHAnsi"/>
          <w:highlight w:val="yellow"/>
        </w:rPr>
        <w:t xml:space="preserve">magyar oltásszakértői javasolt szerint </w:t>
      </w:r>
      <w:r w:rsidR="00166A77">
        <w:rPr>
          <w:rFonts w:cstheme="minorHAnsi"/>
          <w:highlight w:val="yellow"/>
        </w:rPr>
        <w:t xml:space="preserve">a </w:t>
      </w:r>
      <w:r w:rsidR="00E96247">
        <w:rPr>
          <w:rFonts w:cstheme="minorHAnsi"/>
          <w:highlight w:val="yellow"/>
        </w:rPr>
        <w:t>Sinopharm oltással vakcinált 50 éves életkor felett</w:t>
      </w:r>
      <w:r w:rsidR="00151E0E">
        <w:rPr>
          <w:rFonts w:cstheme="minorHAnsi"/>
          <w:highlight w:val="yellow"/>
        </w:rPr>
        <w:t>i</w:t>
      </w:r>
      <w:r w:rsidR="00E96247">
        <w:rPr>
          <w:rFonts w:cstheme="minorHAnsi"/>
          <w:highlight w:val="yellow"/>
        </w:rPr>
        <w:t xml:space="preserve"> SM-es betegek esetében teljes mRNS vakcinával végzett oltási sor után javasolt a booster vakcina adása.</w:t>
      </w:r>
    </w:p>
    <w:p w14:paraId="68EBC429" w14:textId="37D144F1" w:rsidR="007371D4" w:rsidRDefault="007371D4" w:rsidP="005828D7">
      <w:pPr>
        <w:spacing w:line="240" w:lineRule="auto"/>
        <w:jc w:val="both"/>
        <w:rPr>
          <w:rFonts w:cstheme="minorHAnsi"/>
          <w:b/>
          <w:bCs/>
        </w:rPr>
      </w:pPr>
    </w:p>
    <w:p w14:paraId="36A55F03" w14:textId="1116A5BE" w:rsidR="007371D4" w:rsidRDefault="007371D4" w:rsidP="007371D4">
      <w:pPr>
        <w:spacing w:line="240" w:lineRule="auto"/>
        <w:jc w:val="both"/>
        <w:rPr>
          <w:rFonts w:cstheme="minorHAnsi"/>
        </w:rPr>
      </w:pPr>
      <w:r w:rsidRPr="000F7AA9">
        <w:rPr>
          <w:rFonts w:cstheme="minorHAnsi"/>
          <w:b/>
          <w:bCs/>
          <w:i/>
          <w:iCs/>
          <w:highlight w:val="yellow"/>
        </w:rPr>
        <w:t>Posztexpozíciós profilaxis</w:t>
      </w:r>
      <w:r w:rsidRPr="000F7AA9">
        <w:rPr>
          <w:rFonts w:cstheme="minorHAnsi"/>
          <w:highlight w:val="yellow"/>
        </w:rPr>
        <w:t xml:space="preserve"> céljára az FDA sürgősségi törzskönyvet adott ki a casirivimab és imdevimab (REGEN-COV) </w:t>
      </w:r>
      <w:r w:rsidR="007E2DC5">
        <w:rPr>
          <w:rFonts w:cstheme="minorHAnsi"/>
          <w:highlight w:val="yellow"/>
        </w:rPr>
        <w:t xml:space="preserve">tartalmú monoklonális antitest koktél alkalmazására súlyos </w:t>
      </w:r>
      <w:r w:rsidRPr="000F7AA9">
        <w:rPr>
          <w:rFonts w:cstheme="minorHAnsi"/>
          <w:highlight w:val="yellow"/>
        </w:rPr>
        <w:t xml:space="preserve">COVID-19 </w:t>
      </w:r>
      <w:r>
        <w:rPr>
          <w:rFonts w:cstheme="minorHAnsi"/>
          <w:highlight w:val="yellow"/>
        </w:rPr>
        <w:t xml:space="preserve">fertőzés </w:t>
      </w:r>
      <w:r w:rsidRPr="000F7AA9">
        <w:rPr>
          <w:rFonts w:cstheme="minorHAnsi"/>
          <w:highlight w:val="yellow"/>
        </w:rPr>
        <w:t>megelőzés</w:t>
      </w:r>
      <w:r w:rsidR="007E2DC5">
        <w:rPr>
          <w:rFonts w:cstheme="minorHAnsi"/>
          <w:highlight w:val="yellow"/>
        </w:rPr>
        <w:t xml:space="preserve">e céljából </w:t>
      </w:r>
      <w:r w:rsidRPr="000F7AA9">
        <w:rPr>
          <w:rFonts w:cstheme="minorHAnsi"/>
          <w:highlight w:val="yellow"/>
        </w:rPr>
        <w:t>olyan betegek számára, akik kockázata magas arra, hogy a COVID-19 fertőzés</w:t>
      </w:r>
      <w:r>
        <w:rPr>
          <w:rFonts w:cstheme="minorHAnsi"/>
          <w:highlight w:val="yellow"/>
        </w:rPr>
        <w:t>ük</w:t>
      </w:r>
      <w:r w:rsidRPr="000F7AA9">
        <w:rPr>
          <w:rFonts w:cstheme="minorHAnsi"/>
          <w:highlight w:val="yellow"/>
        </w:rPr>
        <w:t xml:space="preserve"> súlyos fok</w:t>
      </w:r>
      <w:r w:rsidR="00200457">
        <w:rPr>
          <w:rFonts w:cstheme="minorHAnsi"/>
          <w:highlight w:val="yellow"/>
        </w:rPr>
        <w:t>ban</w:t>
      </w:r>
      <w:r w:rsidRPr="000F7AA9">
        <w:rPr>
          <w:rFonts w:cstheme="minorHAnsi"/>
          <w:highlight w:val="yellow"/>
        </w:rPr>
        <w:t xml:space="preserve"> progrediáljon.</w:t>
      </w:r>
    </w:p>
    <w:p w14:paraId="724EA88A" w14:textId="77777777" w:rsidR="007371D4" w:rsidRPr="00CE2AEB" w:rsidRDefault="007371D4" w:rsidP="005828D7">
      <w:pPr>
        <w:spacing w:line="240" w:lineRule="auto"/>
        <w:jc w:val="both"/>
        <w:rPr>
          <w:rFonts w:cstheme="minorHAnsi"/>
          <w:b/>
          <w:bCs/>
        </w:rPr>
      </w:pPr>
    </w:p>
    <w:p w14:paraId="12411693" w14:textId="21171379" w:rsidR="00801899" w:rsidRPr="00BD151C" w:rsidRDefault="00801899" w:rsidP="005828D7">
      <w:pPr>
        <w:spacing w:line="240" w:lineRule="auto"/>
        <w:jc w:val="both"/>
        <w:rPr>
          <w:rFonts w:cstheme="minorHAnsi"/>
          <w:b/>
          <w:bCs/>
        </w:rPr>
      </w:pPr>
      <w:r w:rsidRPr="00CE2AEB">
        <w:rPr>
          <w:rFonts w:cstheme="minorHAnsi"/>
          <w:b/>
          <w:bCs/>
        </w:rPr>
        <w:t>Sclerosis multiplex (SM)</w:t>
      </w:r>
    </w:p>
    <w:p w14:paraId="4585564D" w14:textId="4C8C940B" w:rsidR="0011034D" w:rsidRDefault="0011034D" w:rsidP="005828D7">
      <w:pPr>
        <w:spacing w:line="240" w:lineRule="auto"/>
        <w:jc w:val="both"/>
        <w:rPr>
          <w:rFonts w:cstheme="minorHAnsi"/>
        </w:rPr>
      </w:pPr>
      <w:r w:rsidRPr="00BD151C">
        <w:rPr>
          <w:rFonts w:cstheme="minorHAnsi"/>
        </w:rPr>
        <w:t xml:space="preserve">A </w:t>
      </w:r>
      <w:r w:rsidR="008B120F">
        <w:rPr>
          <w:rFonts w:cstheme="minorHAnsi"/>
        </w:rPr>
        <w:t xml:space="preserve">COVID-19 </w:t>
      </w:r>
      <w:r w:rsidRPr="00BD151C">
        <w:rPr>
          <w:rFonts w:cstheme="minorHAnsi"/>
        </w:rPr>
        <w:t>vakc</w:t>
      </w:r>
      <w:r w:rsidR="00B332A9" w:rsidRPr="00BD151C">
        <w:rPr>
          <w:rFonts w:cstheme="minorHAnsi"/>
        </w:rPr>
        <w:t>inák beadhatóságára a fenti általános szabályok érvényesek</w:t>
      </w:r>
      <w:r w:rsidR="02A29EC2" w:rsidRPr="00BD151C">
        <w:rPr>
          <w:rFonts w:cstheme="minorHAnsi"/>
        </w:rPr>
        <w:t xml:space="preserve">, azzal a kiegészítéssel, hogy </w:t>
      </w:r>
      <w:r w:rsidR="02A29EC2" w:rsidRPr="008A34B1">
        <w:rPr>
          <w:rFonts w:cstheme="minorHAnsi"/>
          <w:i/>
          <w:iCs/>
        </w:rPr>
        <w:t>SM relapszus</w:t>
      </w:r>
      <w:r w:rsidR="02A29EC2" w:rsidRPr="00BD151C">
        <w:rPr>
          <w:rFonts w:cstheme="minorHAnsi"/>
        </w:rPr>
        <w:t xml:space="preserve"> idején a vakcina beadása nem javasolt, halasztása </w:t>
      </w:r>
      <w:r w:rsidR="25B0F7DD" w:rsidRPr="00BD151C">
        <w:rPr>
          <w:rFonts w:cstheme="minorHAnsi"/>
        </w:rPr>
        <w:t>indokolt az</w:t>
      </w:r>
      <w:r w:rsidR="02A29EC2" w:rsidRPr="00BD151C">
        <w:rPr>
          <w:rFonts w:cstheme="minorHAnsi"/>
        </w:rPr>
        <w:t xml:space="preserve"> állapot </w:t>
      </w:r>
      <w:r w:rsidR="414783F3" w:rsidRPr="00BD151C">
        <w:rPr>
          <w:rFonts w:cstheme="minorHAnsi"/>
        </w:rPr>
        <w:t>stabilizálód</w:t>
      </w:r>
      <w:r w:rsidR="78363DAD" w:rsidRPr="00BD151C">
        <w:rPr>
          <w:rFonts w:cstheme="minorHAnsi"/>
        </w:rPr>
        <w:t>ásáig</w:t>
      </w:r>
      <w:r w:rsidR="02A29EC2" w:rsidRPr="00BD151C">
        <w:rPr>
          <w:rFonts w:cstheme="minorHAnsi"/>
        </w:rPr>
        <w:t>.</w:t>
      </w:r>
    </w:p>
    <w:p w14:paraId="48183872" w14:textId="2D1874FE" w:rsidR="001459F7" w:rsidRDefault="001459F7" w:rsidP="005828D7">
      <w:pPr>
        <w:spacing w:line="240" w:lineRule="auto"/>
        <w:jc w:val="both"/>
        <w:rPr>
          <w:rFonts w:cstheme="minorHAnsi"/>
        </w:rPr>
      </w:pPr>
      <w:r>
        <w:rPr>
          <w:rFonts w:cstheme="minorHAnsi"/>
          <w:highlight w:val="yellow"/>
        </w:rPr>
        <w:t>T</w:t>
      </w:r>
      <w:r w:rsidRPr="001459F7">
        <w:rPr>
          <w:rFonts w:cstheme="minorHAnsi"/>
          <w:highlight w:val="yellow"/>
        </w:rPr>
        <w:t>öbb, mint 400 Pfizer-BionTech vakcinával oltott SM-es beteg követése során nyert való világ tapasztatok arra utalnak, hogy a vakcináció mellett a relapszusok gyakorisága nem nőtt, és az oltási reakciók előfordulása megegyezett az átlagpopulációban tapasztaltakkal.</w:t>
      </w:r>
      <w:r>
        <w:rPr>
          <w:rFonts w:cstheme="minorHAnsi"/>
        </w:rPr>
        <w:t xml:space="preserve"> </w:t>
      </w:r>
    </w:p>
    <w:p w14:paraId="65D3B915" w14:textId="06705909" w:rsidR="008A34B1" w:rsidRDefault="008A34B1" w:rsidP="005828D7">
      <w:pPr>
        <w:spacing w:line="240" w:lineRule="auto"/>
        <w:jc w:val="both"/>
        <w:rPr>
          <w:rFonts w:cstheme="minorHAnsi"/>
        </w:rPr>
      </w:pPr>
    </w:p>
    <w:p w14:paraId="1F147228" w14:textId="0AD31212" w:rsidR="008A34B1" w:rsidRPr="008A34B1" w:rsidRDefault="006C5323" w:rsidP="005828D7">
      <w:pPr>
        <w:spacing w:line="240" w:lineRule="auto"/>
        <w:jc w:val="both"/>
        <w:rPr>
          <w:rFonts w:cstheme="minorHAnsi"/>
          <w:b/>
          <w:bCs/>
          <w:i/>
          <w:iCs/>
        </w:rPr>
      </w:pPr>
      <w:r>
        <w:rPr>
          <w:rFonts w:cstheme="minorHAnsi"/>
          <w:b/>
          <w:bCs/>
          <w:i/>
          <w:iCs/>
        </w:rPr>
        <w:t>COVID-19 v</w:t>
      </w:r>
      <w:r w:rsidR="008A34B1" w:rsidRPr="008A34B1">
        <w:rPr>
          <w:rFonts w:cstheme="minorHAnsi"/>
          <w:b/>
          <w:bCs/>
          <w:i/>
          <w:iCs/>
        </w:rPr>
        <w:t>akcinák hatékonysága</w:t>
      </w:r>
      <w:r w:rsidR="008B120F">
        <w:rPr>
          <w:rFonts w:cstheme="minorHAnsi"/>
          <w:b/>
          <w:bCs/>
          <w:i/>
          <w:iCs/>
        </w:rPr>
        <w:t xml:space="preserve"> SM-ben</w:t>
      </w:r>
      <w:r w:rsidR="008A34B1" w:rsidRPr="008A34B1">
        <w:rPr>
          <w:rFonts w:cstheme="minorHAnsi"/>
          <w:b/>
          <w:bCs/>
          <w:i/>
          <w:iCs/>
        </w:rPr>
        <w:t>:</w:t>
      </w:r>
    </w:p>
    <w:p w14:paraId="5018653D" w14:textId="7C7607FB" w:rsidR="0040746A" w:rsidRPr="00CE2AEB" w:rsidRDefault="000E3A31" w:rsidP="005828D7">
      <w:pPr>
        <w:spacing w:line="240" w:lineRule="auto"/>
        <w:jc w:val="both"/>
        <w:rPr>
          <w:rFonts w:cstheme="minorHAnsi"/>
        </w:rPr>
      </w:pPr>
      <w:r w:rsidRPr="00BD151C">
        <w:rPr>
          <w:rFonts w:cstheme="minorHAnsi"/>
        </w:rPr>
        <w:t>Az SM-ben</w:t>
      </w:r>
      <w:r w:rsidR="00D434FA" w:rsidRPr="00BD151C">
        <w:rPr>
          <w:rFonts w:cstheme="minorHAnsi"/>
        </w:rPr>
        <w:t xml:space="preserve"> </w:t>
      </w:r>
      <w:r w:rsidRPr="00BD151C">
        <w:rPr>
          <w:rFonts w:cstheme="minorHAnsi"/>
        </w:rPr>
        <w:t>alkalmazott immunkezelések befolyásolhatják</w:t>
      </w:r>
      <w:r w:rsidR="00D434FA" w:rsidRPr="00BD151C">
        <w:rPr>
          <w:rFonts w:cstheme="minorHAnsi"/>
        </w:rPr>
        <w:t xml:space="preserve"> </w:t>
      </w:r>
      <w:r w:rsidRPr="00BD151C">
        <w:rPr>
          <w:rFonts w:cstheme="minorHAnsi"/>
        </w:rPr>
        <w:t>a védőoltásra</w:t>
      </w:r>
      <w:r w:rsidR="00D434FA" w:rsidRPr="00BD151C">
        <w:rPr>
          <w:rFonts w:cstheme="minorHAnsi"/>
        </w:rPr>
        <w:t xml:space="preserve"> </w:t>
      </w:r>
      <w:r w:rsidRPr="00BD151C">
        <w:rPr>
          <w:rFonts w:cstheme="minorHAnsi"/>
        </w:rPr>
        <w:t xml:space="preserve">adott hatékony immunválasz </w:t>
      </w:r>
      <w:r w:rsidR="7C14D7DB" w:rsidRPr="00BD151C">
        <w:rPr>
          <w:rFonts w:cstheme="minorHAnsi"/>
        </w:rPr>
        <w:t>kialakulásá</w:t>
      </w:r>
      <w:r w:rsidRPr="00BD151C">
        <w:rPr>
          <w:rFonts w:cstheme="minorHAnsi"/>
        </w:rPr>
        <w:t>t</w:t>
      </w:r>
      <w:r w:rsidR="006C5323">
        <w:rPr>
          <w:rFonts w:cstheme="minorHAnsi"/>
        </w:rPr>
        <w:t xml:space="preserve">. </w:t>
      </w:r>
      <w:r w:rsidR="0040746A" w:rsidRPr="00C80BD3">
        <w:rPr>
          <w:rFonts w:cstheme="minorHAnsi"/>
        </w:rPr>
        <w:t>Mindazonáltal a védőoltás beadása</w:t>
      </w:r>
      <w:r w:rsidR="007A7EA3" w:rsidRPr="00C80BD3">
        <w:rPr>
          <w:rFonts w:cstheme="minorHAnsi"/>
        </w:rPr>
        <w:t xml:space="preserve"> (</w:t>
      </w:r>
      <w:r w:rsidR="009B415E" w:rsidRPr="00C80BD3">
        <w:rPr>
          <w:rFonts w:cstheme="minorHAnsi"/>
        </w:rPr>
        <w:t>Pfizer</w:t>
      </w:r>
      <w:r w:rsidR="00C92630" w:rsidRPr="00C80BD3">
        <w:rPr>
          <w:rFonts w:cstheme="minorHAnsi"/>
        </w:rPr>
        <w:t>-BionTech</w:t>
      </w:r>
      <w:r w:rsidR="009B415E" w:rsidRPr="00C80BD3">
        <w:rPr>
          <w:rFonts w:cstheme="minorHAnsi"/>
        </w:rPr>
        <w:t>, Moderna</w:t>
      </w:r>
      <w:r w:rsidR="00C92630" w:rsidRPr="00C80BD3">
        <w:rPr>
          <w:rFonts w:cstheme="minorHAnsi"/>
        </w:rPr>
        <w:t xml:space="preserve">, </w:t>
      </w:r>
      <w:r w:rsidR="00EB23C6" w:rsidRPr="00C80BD3">
        <w:rPr>
          <w:rFonts w:cstheme="minorHAnsi"/>
        </w:rPr>
        <w:t>Vaxzevria</w:t>
      </w:r>
      <w:r w:rsidR="0000439F" w:rsidRPr="00C80BD3">
        <w:rPr>
          <w:rFonts w:cstheme="minorHAnsi"/>
        </w:rPr>
        <w:t>-</w:t>
      </w:r>
      <w:r w:rsidR="00C92630" w:rsidRPr="00C80BD3">
        <w:rPr>
          <w:rFonts w:cstheme="minorHAnsi"/>
        </w:rPr>
        <w:t>AstraZeneca</w:t>
      </w:r>
      <w:r w:rsidR="000714AC" w:rsidRPr="00C80BD3">
        <w:rPr>
          <w:rFonts w:cstheme="minorHAnsi"/>
        </w:rPr>
        <w:t xml:space="preserve">, </w:t>
      </w:r>
      <w:r w:rsidR="008B5493" w:rsidRPr="00C80BD3">
        <w:rPr>
          <w:rFonts w:cstheme="minorHAnsi"/>
        </w:rPr>
        <w:t>Sputn</w:t>
      </w:r>
      <w:r w:rsidR="009E366A" w:rsidRPr="00C80BD3">
        <w:rPr>
          <w:rFonts w:cstheme="minorHAnsi"/>
        </w:rPr>
        <w:t>y</w:t>
      </w:r>
      <w:r w:rsidR="008B5493" w:rsidRPr="00C80BD3">
        <w:rPr>
          <w:rFonts w:cstheme="minorHAnsi"/>
        </w:rPr>
        <w:t xml:space="preserve">ik V, Janssen vakcina, </w:t>
      </w:r>
      <w:r w:rsidR="000714AC" w:rsidRPr="00C80BD3">
        <w:rPr>
          <w:rFonts w:cstheme="minorHAnsi"/>
        </w:rPr>
        <w:t>Sinopharm</w:t>
      </w:r>
      <w:r w:rsidR="009B415E" w:rsidRPr="00C80BD3">
        <w:rPr>
          <w:rFonts w:cstheme="minorHAnsi"/>
        </w:rPr>
        <w:t>)</w:t>
      </w:r>
      <w:r w:rsidR="00C24857" w:rsidRPr="00C80BD3">
        <w:rPr>
          <w:rFonts w:cstheme="minorHAnsi"/>
        </w:rPr>
        <w:t xml:space="preserve"> valamennyi SM beteg számára javasolt, akár részesülnek betegségmódosító</w:t>
      </w:r>
      <w:r w:rsidR="00027CB0" w:rsidRPr="00C80BD3">
        <w:rPr>
          <w:rFonts w:cstheme="minorHAnsi"/>
        </w:rPr>
        <w:t xml:space="preserve"> immunkezelésben, akár nem.</w:t>
      </w:r>
    </w:p>
    <w:p w14:paraId="16AC1997" w14:textId="77777777" w:rsidR="00A42010" w:rsidRDefault="00A42010" w:rsidP="005828D7">
      <w:pPr>
        <w:spacing w:line="240" w:lineRule="auto"/>
        <w:jc w:val="both"/>
        <w:rPr>
          <w:rFonts w:cstheme="minorHAnsi"/>
        </w:rPr>
      </w:pPr>
    </w:p>
    <w:p w14:paraId="3C1D83F6" w14:textId="24B6E58F" w:rsidR="00A42010" w:rsidRDefault="00A42010" w:rsidP="005828D7">
      <w:pPr>
        <w:spacing w:line="240" w:lineRule="auto"/>
        <w:jc w:val="both"/>
        <w:rPr>
          <w:rFonts w:cstheme="minorHAnsi"/>
        </w:rPr>
      </w:pPr>
      <w:r w:rsidRPr="00A42010">
        <w:rPr>
          <w:rFonts w:cstheme="minorHAnsi"/>
          <w:highlight w:val="yellow"/>
        </w:rPr>
        <w:t xml:space="preserve">A COVID-19 pandémia kezdete óta több tanulmány </w:t>
      </w:r>
      <w:r w:rsidR="00F4517E">
        <w:rPr>
          <w:rFonts w:cstheme="minorHAnsi"/>
          <w:highlight w:val="yellow"/>
        </w:rPr>
        <w:t xml:space="preserve">vizsgálta </w:t>
      </w:r>
      <w:r w:rsidRPr="00A42010">
        <w:rPr>
          <w:rFonts w:cstheme="minorHAnsi"/>
          <w:highlight w:val="yellow"/>
        </w:rPr>
        <w:t xml:space="preserve">a COVID-19 vakcinák hatékonyságát nem kezelt és immunkezelés alatt álló </w:t>
      </w:r>
      <w:r w:rsidR="00F4517E">
        <w:rPr>
          <w:rFonts w:cstheme="minorHAnsi"/>
          <w:highlight w:val="yellow"/>
        </w:rPr>
        <w:t xml:space="preserve">SM-es </w:t>
      </w:r>
      <w:r w:rsidRPr="00A42010">
        <w:rPr>
          <w:rFonts w:cstheme="minorHAnsi"/>
          <w:highlight w:val="yellow"/>
        </w:rPr>
        <w:t>betegek esetében.</w:t>
      </w:r>
    </w:p>
    <w:p w14:paraId="5A9DC159" w14:textId="6924E01A" w:rsidR="00A42010" w:rsidRPr="00FE1BA6" w:rsidRDefault="000D0956" w:rsidP="005828D7">
      <w:pPr>
        <w:spacing w:line="240" w:lineRule="auto"/>
        <w:jc w:val="both"/>
        <w:rPr>
          <w:rFonts w:cstheme="minorHAnsi"/>
          <w:highlight w:val="yellow"/>
        </w:rPr>
      </w:pPr>
      <w:r w:rsidRPr="00FE1BA6">
        <w:rPr>
          <w:rFonts w:cstheme="minorHAnsi"/>
          <w:highlight w:val="yellow"/>
        </w:rPr>
        <w:t xml:space="preserve">A vakcinára </w:t>
      </w:r>
      <w:r w:rsidR="00F4517E" w:rsidRPr="00FE1BA6">
        <w:rPr>
          <w:rFonts w:cstheme="minorHAnsi"/>
          <w:highlight w:val="yellow"/>
        </w:rPr>
        <w:t xml:space="preserve">adott </w:t>
      </w:r>
      <w:r w:rsidRPr="00FE1BA6">
        <w:rPr>
          <w:rFonts w:cstheme="minorHAnsi"/>
          <w:highlight w:val="yellow"/>
        </w:rPr>
        <w:t xml:space="preserve">specifikus </w:t>
      </w:r>
      <w:r w:rsidRPr="00FE1BA6">
        <w:rPr>
          <w:rFonts w:cstheme="minorHAnsi"/>
          <w:b/>
          <w:bCs/>
          <w:i/>
          <w:iCs/>
          <w:highlight w:val="yellow"/>
        </w:rPr>
        <w:t>humorális immunválasz</w:t>
      </w:r>
      <w:r w:rsidR="00BC40F1" w:rsidRPr="00FE1BA6">
        <w:rPr>
          <w:rFonts w:cstheme="minorHAnsi"/>
          <w:highlight w:val="yellow"/>
        </w:rPr>
        <w:t xml:space="preserve"> </w:t>
      </w:r>
      <w:r w:rsidRPr="00FE1BA6">
        <w:rPr>
          <w:rFonts w:cstheme="minorHAnsi"/>
          <w:highlight w:val="yellow"/>
        </w:rPr>
        <w:t xml:space="preserve">a </w:t>
      </w:r>
      <w:r w:rsidR="00BC40F1" w:rsidRPr="00FE1BA6">
        <w:rPr>
          <w:rFonts w:cstheme="minorHAnsi"/>
          <w:highlight w:val="yellow"/>
        </w:rPr>
        <w:t>SARS-CoV-2 tüskefehérje receptorkötő doménja ellen</w:t>
      </w:r>
      <w:r w:rsidR="00F4517E" w:rsidRPr="00FE1BA6">
        <w:rPr>
          <w:rFonts w:cstheme="minorHAnsi"/>
          <w:highlight w:val="yellow"/>
        </w:rPr>
        <w:t>i</w:t>
      </w:r>
      <w:r w:rsidR="00BC40F1" w:rsidRPr="00FE1BA6">
        <w:rPr>
          <w:rFonts w:cstheme="minorHAnsi"/>
          <w:highlight w:val="yellow"/>
        </w:rPr>
        <w:t xml:space="preserve"> antitestek (anti-</w:t>
      </w:r>
      <w:r w:rsidRPr="00FE1BA6">
        <w:rPr>
          <w:rFonts w:cstheme="minorHAnsi"/>
          <w:highlight w:val="yellow"/>
        </w:rPr>
        <w:t>SARS-CoV-2 tüskefehérjére</w:t>
      </w:r>
      <w:r w:rsidR="00BC40F1" w:rsidRPr="00FE1BA6">
        <w:rPr>
          <w:rFonts w:cstheme="minorHAnsi"/>
          <w:highlight w:val="yellow"/>
        </w:rPr>
        <w:t xml:space="preserve"> immunglobulinok) m</w:t>
      </w:r>
      <w:r w:rsidR="00E83183" w:rsidRPr="00FE1BA6">
        <w:rPr>
          <w:rFonts w:cstheme="minorHAnsi"/>
          <w:highlight w:val="yellow"/>
        </w:rPr>
        <w:t>é</w:t>
      </w:r>
      <w:r w:rsidR="00BC40F1" w:rsidRPr="00FE1BA6">
        <w:rPr>
          <w:rFonts w:cstheme="minorHAnsi"/>
          <w:highlight w:val="yellow"/>
        </w:rPr>
        <w:t xml:space="preserve">résével vizsgálható. </w:t>
      </w:r>
      <w:r w:rsidR="00F4517E" w:rsidRPr="00FE1BA6">
        <w:rPr>
          <w:rFonts w:cstheme="minorHAnsi"/>
          <w:highlight w:val="yellow"/>
        </w:rPr>
        <w:t>Az ocrelizumab, rituximab, fingolimod</w:t>
      </w:r>
      <w:r w:rsidR="006935B8">
        <w:rPr>
          <w:rFonts w:cstheme="minorHAnsi"/>
          <w:highlight w:val="yellow"/>
        </w:rPr>
        <w:t>, és siponimod</w:t>
      </w:r>
      <w:r w:rsidR="00950FE2">
        <w:rPr>
          <w:rFonts w:cstheme="minorHAnsi"/>
          <w:highlight w:val="yellow"/>
        </w:rPr>
        <w:t xml:space="preserve"> </w:t>
      </w:r>
      <w:r w:rsidR="00F4517E" w:rsidRPr="00FE1BA6">
        <w:rPr>
          <w:rFonts w:cstheme="minorHAnsi"/>
          <w:highlight w:val="yellow"/>
        </w:rPr>
        <w:t>kezel</w:t>
      </w:r>
      <w:r w:rsidR="00DE4F5B">
        <w:rPr>
          <w:rFonts w:cstheme="minorHAnsi"/>
          <w:highlight w:val="yellow"/>
        </w:rPr>
        <w:t xml:space="preserve">és alatt álló </w:t>
      </w:r>
      <w:r w:rsidR="00F4517E" w:rsidRPr="00FE1BA6">
        <w:rPr>
          <w:rFonts w:cstheme="minorHAnsi"/>
          <w:highlight w:val="yellow"/>
        </w:rPr>
        <w:t>betegek</w:t>
      </w:r>
      <w:r w:rsidR="0008129E">
        <w:rPr>
          <w:rFonts w:cstheme="minorHAnsi"/>
          <w:highlight w:val="yellow"/>
        </w:rPr>
        <w:t>nek</w:t>
      </w:r>
      <w:r w:rsidR="00F4517E" w:rsidRPr="00FE1BA6">
        <w:rPr>
          <w:rFonts w:cstheme="minorHAnsi"/>
          <w:highlight w:val="yellow"/>
        </w:rPr>
        <w:t xml:space="preserve"> szignifikánsan csökkent </w:t>
      </w:r>
      <w:r w:rsidR="0008129E">
        <w:rPr>
          <w:rFonts w:cstheme="minorHAnsi"/>
          <w:highlight w:val="yellow"/>
        </w:rPr>
        <w:t xml:space="preserve">a </w:t>
      </w:r>
      <w:r w:rsidR="00F4517E" w:rsidRPr="00FE1BA6">
        <w:rPr>
          <w:rFonts w:cstheme="minorHAnsi"/>
          <w:highlight w:val="yellow"/>
        </w:rPr>
        <w:t>poszt</w:t>
      </w:r>
      <w:r w:rsidR="00C07614">
        <w:rPr>
          <w:rFonts w:cstheme="minorHAnsi"/>
          <w:highlight w:val="yellow"/>
        </w:rPr>
        <w:t>va</w:t>
      </w:r>
      <w:r w:rsidR="00F4517E" w:rsidRPr="00FE1BA6">
        <w:rPr>
          <w:rFonts w:cstheme="minorHAnsi"/>
          <w:highlight w:val="yellow"/>
        </w:rPr>
        <w:t>kcinációs receptorkötő domén</w:t>
      </w:r>
      <w:r w:rsidR="00EA023C" w:rsidRPr="00FE1BA6">
        <w:rPr>
          <w:rFonts w:cstheme="minorHAnsi"/>
          <w:highlight w:val="yellow"/>
        </w:rPr>
        <w:t>-</w:t>
      </w:r>
      <w:r w:rsidR="00F4517E" w:rsidRPr="00FE1BA6">
        <w:rPr>
          <w:rFonts w:cstheme="minorHAnsi"/>
          <w:highlight w:val="yellow"/>
        </w:rPr>
        <w:t>ellenes ellenanyagszint</w:t>
      </w:r>
      <w:r w:rsidR="0008129E">
        <w:rPr>
          <w:rFonts w:cstheme="minorHAnsi"/>
          <w:highlight w:val="yellow"/>
        </w:rPr>
        <w:t>jük</w:t>
      </w:r>
      <w:r w:rsidR="00F4517E" w:rsidRPr="00FE1BA6">
        <w:rPr>
          <w:rFonts w:cstheme="minorHAnsi"/>
          <w:highlight w:val="yellow"/>
        </w:rPr>
        <w:t xml:space="preserve"> a nem kezelt betegekkel összehasonlításban</w:t>
      </w:r>
      <w:r w:rsidR="0037101B">
        <w:rPr>
          <w:rFonts w:cstheme="minorHAnsi"/>
          <w:highlight w:val="yellow"/>
        </w:rPr>
        <w:t xml:space="preserve">; a betegek kis hányadában alakult </w:t>
      </w:r>
      <w:r w:rsidR="006935B8">
        <w:rPr>
          <w:rFonts w:cstheme="minorHAnsi"/>
          <w:highlight w:val="yellow"/>
        </w:rPr>
        <w:t xml:space="preserve">csak </w:t>
      </w:r>
      <w:r w:rsidR="0037101B">
        <w:rPr>
          <w:rFonts w:cstheme="minorHAnsi"/>
          <w:highlight w:val="yellow"/>
        </w:rPr>
        <w:t>ki szeroprotekív immunválasz</w:t>
      </w:r>
      <w:r w:rsidR="00F4517E" w:rsidRPr="00FE1BA6">
        <w:rPr>
          <w:rFonts w:cstheme="minorHAnsi"/>
          <w:highlight w:val="yellow"/>
        </w:rPr>
        <w:t xml:space="preserve">. </w:t>
      </w:r>
      <w:r w:rsidR="00BC40F1" w:rsidRPr="00FE1BA6">
        <w:rPr>
          <w:rFonts w:cstheme="minorHAnsi"/>
          <w:highlight w:val="yellow"/>
        </w:rPr>
        <w:t xml:space="preserve">A glatiramer-acetát, béta-interferon, </w:t>
      </w:r>
      <w:r w:rsidR="00095286">
        <w:rPr>
          <w:rFonts w:cstheme="minorHAnsi"/>
          <w:highlight w:val="yellow"/>
        </w:rPr>
        <w:t xml:space="preserve">teriflunomid, </w:t>
      </w:r>
      <w:r w:rsidR="00BC40F1" w:rsidRPr="00FE1BA6">
        <w:rPr>
          <w:rFonts w:cstheme="minorHAnsi"/>
          <w:highlight w:val="yellow"/>
        </w:rPr>
        <w:t>dimetil-f</w:t>
      </w:r>
      <w:r w:rsidR="00EA023C" w:rsidRPr="00FE1BA6">
        <w:rPr>
          <w:rFonts w:cstheme="minorHAnsi"/>
          <w:highlight w:val="yellow"/>
        </w:rPr>
        <w:t>u</w:t>
      </w:r>
      <w:r w:rsidR="00BC40F1" w:rsidRPr="00FE1BA6">
        <w:rPr>
          <w:rFonts w:cstheme="minorHAnsi"/>
          <w:highlight w:val="yellow"/>
        </w:rPr>
        <w:t>matát, natalizumab</w:t>
      </w:r>
      <w:r w:rsidR="00EA023C" w:rsidRPr="00FE1BA6">
        <w:rPr>
          <w:rFonts w:cstheme="minorHAnsi"/>
          <w:highlight w:val="yellow"/>
        </w:rPr>
        <w:t>, alemtuzumab, kladribin</w:t>
      </w:r>
      <w:r w:rsidR="00BC40F1" w:rsidRPr="00FE1BA6">
        <w:rPr>
          <w:rFonts w:cstheme="minorHAnsi"/>
          <w:highlight w:val="yellow"/>
        </w:rPr>
        <w:t xml:space="preserve"> kezel</w:t>
      </w:r>
      <w:r w:rsidR="00095286">
        <w:rPr>
          <w:rFonts w:cstheme="minorHAnsi"/>
          <w:highlight w:val="yellow"/>
        </w:rPr>
        <w:t>és alatt álló</w:t>
      </w:r>
      <w:r w:rsidR="00BC40F1" w:rsidRPr="00FE1BA6">
        <w:rPr>
          <w:rFonts w:cstheme="minorHAnsi"/>
          <w:highlight w:val="yellow"/>
        </w:rPr>
        <w:t xml:space="preserve"> betegek posztvakcinációs receptorkötő domén</w:t>
      </w:r>
      <w:r w:rsidR="00A70CC7" w:rsidRPr="00FE1BA6">
        <w:rPr>
          <w:rFonts w:cstheme="minorHAnsi"/>
          <w:highlight w:val="yellow"/>
        </w:rPr>
        <w:t>-</w:t>
      </w:r>
      <w:r w:rsidR="00BC40F1" w:rsidRPr="00FE1BA6">
        <w:rPr>
          <w:rFonts w:cstheme="minorHAnsi"/>
          <w:highlight w:val="yellow"/>
        </w:rPr>
        <w:t xml:space="preserve">ellenes ellenanyagszintjei nem különböztek a nem kezelt </w:t>
      </w:r>
      <w:r w:rsidR="00A65F43" w:rsidRPr="00FE1BA6">
        <w:rPr>
          <w:rFonts w:cstheme="minorHAnsi"/>
          <w:highlight w:val="yellow"/>
        </w:rPr>
        <w:t>betegek,</w:t>
      </w:r>
      <w:r w:rsidR="00BC40F1" w:rsidRPr="00FE1BA6">
        <w:rPr>
          <w:rFonts w:cstheme="minorHAnsi"/>
          <w:highlight w:val="yellow"/>
        </w:rPr>
        <w:t xml:space="preserve"> </w:t>
      </w:r>
      <w:r w:rsidR="00EA023C" w:rsidRPr="00FE1BA6">
        <w:rPr>
          <w:rFonts w:cstheme="minorHAnsi"/>
          <w:highlight w:val="yellow"/>
        </w:rPr>
        <w:t xml:space="preserve">illetve az egészséges egyének </w:t>
      </w:r>
      <w:r w:rsidR="00BC40F1" w:rsidRPr="00FE1BA6">
        <w:rPr>
          <w:rFonts w:cstheme="minorHAnsi"/>
          <w:highlight w:val="yellow"/>
        </w:rPr>
        <w:t>posztvakcinációs ellenanyagszintj</w:t>
      </w:r>
      <w:r w:rsidR="00F4517E" w:rsidRPr="00FE1BA6">
        <w:rPr>
          <w:rFonts w:cstheme="minorHAnsi"/>
          <w:highlight w:val="yellow"/>
        </w:rPr>
        <w:t>ét</w:t>
      </w:r>
      <w:r w:rsidR="00BC40F1" w:rsidRPr="00FE1BA6">
        <w:rPr>
          <w:rFonts w:cstheme="minorHAnsi"/>
          <w:highlight w:val="yellow"/>
        </w:rPr>
        <w:t xml:space="preserve">ől. </w:t>
      </w:r>
    </w:p>
    <w:p w14:paraId="1264CFBF" w14:textId="1F664C88" w:rsidR="00785789" w:rsidRDefault="00E83183" w:rsidP="005828D7">
      <w:pPr>
        <w:spacing w:line="240" w:lineRule="auto"/>
        <w:jc w:val="both"/>
        <w:rPr>
          <w:rFonts w:cstheme="minorHAnsi"/>
        </w:rPr>
      </w:pPr>
      <w:r w:rsidRPr="00FE1BA6">
        <w:rPr>
          <w:rFonts w:cstheme="minorHAnsi"/>
          <w:highlight w:val="yellow"/>
        </w:rPr>
        <w:t>A COVID-19 vakcinációt megelőző</w:t>
      </w:r>
      <w:r w:rsidR="003F13FE">
        <w:rPr>
          <w:rFonts w:cstheme="minorHAnsi"/>
          <w:highlight w:val="yellow"/>
        </w:rPr>
        <w:t>,</w:t>
      </w:r>
      <w:r w:rsidRPr="00FE1BA6">
        <w:rPr>
          <w:rFonts w:cstheme="minorHAnsi"/>
          <w:highlight w:val="yellow"/>
        </w:rPr>
        <w:t xml:space="preserve"> hosszabb </w:t>
      </w:r>
      <w:r w:rsidR="00B76B2A" w:rsidRPr="00FE1BA6">
        <w:rPr>
          <w:rFonts w:cstheme="minorHAnsi"/>
          <w:highlight w:val="yellow"/>
        </w:rPr>
        <w:t xml:space="preserve">kumulatív </w:t>
      </w:r>
      <w:r w:rsidRPr="00FE1BA6">
        <w:rPr>
          <w:rFonts w:cstheme="minorHAnsi"/>
          <w:highlight w:val="yellow"/>
        </w:rPr>
        <w:t xml:space="preserve">időtartamú anti-CD20 kezelés </w:t>
      </w:r>
      <w:r w:rsidR="00EA023C" w:rsidRPr="00FE1BA6">
        <w:rPr>
          <w:rFonts w:cstheme="minorHAnsi"/>
          <w:highlight w:val="yellow"/>
        </w:rPr>
        <w:t xml:space="preserve">társult </w:t>
      </w:r>
      <w:r w:rsidRPr="00FE1BA6">
        <w:rPr>
          <w:rFonts w:cstheme="minorHAnsi"/>
          <w:highlight w:val="yellow"/>
        </w:rPr>
        <w:t>hiányzó ellenanyagválasszal.</w:t>
      </w:r>
    </w:p>
    <w:p w14:paraId="2240745E" w14:textId="47ECCD87" w:rsidR="00E83183" w:rsidRDefault="00E83183" w:rsidP="005828D7">
      <w:pPr>
        <w:spacing w:line="240" w:lineRule="auto"/>
        <w:jc w:val="both"/>
        <w:rPr>
          <w:rFonts w:cstheme="minorHAnsi"/>
        </w:rPr>
      </w:pPr>
      <w:r w:rsidRPr="00FE1BA6">
        <w:rPr>
          <w:rFonts w:cstheme="minorHAnsi"/>
          <w:highlight w:val="yellow"/>
        </w:rPr>
        <w:t xml:space="preserve">A </w:t>
      </w:r>
      <w:r w:rsidRPr="00FE1BA6">
        <w:rPr>
          <w:rFonts w:cstheme="minorHAnsi"/>
          <w:b/>
          <w:bCs/>
          <w:i/>
          <w:iCs/>
          <w:highlight w:val="yellow"/>
        </w:rPr>
        <w:t>T sejt</w:t>
      </w:r>
      <w:r w:rsidR="004A5AA7" w:rsidRPr="00FE1BA6">
        <w:rPr>
          <w:rFonts w:cstheme="minorHAnsi"/>
          <w:b/>
          <w:bCs/>
          <w:i/>
          <w:iCs/>
          <w:highlight w:val="yellow"/>
        </w:rPr>
        <w:t>mediált</w:t>
      </w:r>
      <w:r w:rsidRPr="00FE1BA6">
        <w:rPr>
          <w:rFonts w:cstheme="minorHAnsi"/>
          <w:b/>
          <w:bCs/>
          <w:i/>
          <w:iCs/>
          <w:highlight w:val="yellow"/>
        </w:rPr>
        <w:t xml:space="preserve"> immunválasz</w:t>
      </w:r>
      <w:r w:rsidRPr="00FE1BA6">
        <w:rPr>
          <w:rFonts w:cstheme="minorHAnsi"/>
          <w:highlight w:val="yellow"/>
        </w:rPr>
        <w:t xml:space="preserve"> (tüske-specifikus CD4+ és CD8+ sejtreaktivitás) </w:t>
      </w:r>
      <w:r w:rsidR="0086265A" w:rsidRPr="00FE1BA6">
        <w:rPr>
          <w:rFonts w:cstheme="minorHAnsi"/>
          <w:highlight w:val="yellow"/>
        </w:rPr>
        <w:t xml:space="preserve">glatiramer-acetát, dimetil-fumarát, natalizumab, S1P modulátorok, rituximab, </w:t>
      </w:r>
      <w:r w:rsidR="00940A47" w:rsidRPr="00FE1BA6">
        <w:rPr>
          <w:rFonts w:cstheme="minorHAnsi"/>
          <w:highlight w:val="yellow"/>
        </w:rPr>
        <w:t xml:space="preserve">és </w:t>
      </w:r>
      <w:r w:rsidR="0086265A" w:rsidRPr="00FE1BA6">
        <w:rPr>
          <w:rFonts w:cstheme="minorHAnsi"/>
          <w:highlight w:val="yellow"/>
        </w:rPr>
        <w:t>ocrelizumab</w:t>
      </w:r>
      <w:r w:rsidRPr="00FE1BA6">
        <w:rPr>
          <w:rFonts w:cstheme="minorHAnsi"/>
          <w:highlight w:val="yellow"/>
        </w:rPr>
        <w:t xml:space="preserve"> </w:t>
      </w:r>
      <w:r w:rsidR="00940A47" w:rsidRPr="00FE1BA6">
        <w:rPr>
          <w:rFonts w:cstheme="minorHAnsi"/>
          <w:highlight w:val="yellow"/>
        </w:rPr>
        <w:t xml:space="preserve">terápiák </w:t>
      </w:r>
      <w:r w:rsidRPr="00FE1BA6">
        <w:rPr>
          <w:rFonts w:cstheme="minorHAnsi"/>
          <w:highlight w:val="yellow"/>
        </w:rPr>
        <w:t xml:space="preserve">mellett </w:t>
      </w:r>
      <w:r w:rsidR="00940A47" w:rsidRPr="00FE1BA6">
        <w:rPr>
          <w:rFonts w:cstheme="minorHAnsi"/>
          <w:highlight w:val="yellow"/>
        </w:rPr>
        <w:t xml:space="preserve">mind </w:t>
      </w:r>
      <w:r w:rsidR="00D62F6E" w:rsidRPr="00FE1BA6">
        <w:rPr>
          <w:rFonts w:cstheme="minorHAnsi"/>
          <w:highlight w:val="yellow"/>
        </w:rPr>
        <w:t>megtartott</w:t>
      </w:r>
      <w:r w:rsidRPr="00FE1BA6">
        <w:rPr>
          <w:rFonts w:cstheme="minorHAnsi"/>
          <w:highlight w:val="yellow"/>
        </w:rPr>
        <w:t xml:space="preserve"> volt. </w:t>
      </w:r>
      <w:r w:rsidR="00940A47" w:rsidRPr="00FE1BA6">
        <w:rPr>
          <w:rFonts w:cstheme="minorHAnsi"/>
          <w:highlight w:val="yellow"/>
        </w:rPr>
        <w:t>Ez utóbbi arra utal, hogy minden immunszup</w:t>
      </w:r>
      <w:r w:rsidR="00F175A7">
        <w:rPr>
          <w:rFonts w:cstheme="minorHAnsi"/>
          <w:highlight w:val="yellow"/>
        </w:rPr>
        <w:t>p</w:t>
      </w:r>
      <w:r w:rsidR="00940A47" w:rsidRPr="00FE1BA6">
        <w:rPr>
          <w:rFonts w:cstheme="minorHAnsi"/>
          <w:highlight w:val="yellow"/>
        </w:rPr>
        <w:t xml:space="preserve">resszív kezelés alatt álló SM-es beteg </w:t>
      </w:r>
      <w:r w:rsidR="00F2000D" w:rsidRPr="00FE1BA6">
        <w:rPr>
          <w:rFonts w:cstheme="minorHAnsi"/>
          <w:highlight w:val="yellow"/>
        </w:rPr>
        <w:t>esetében</w:t>
      </w:r>
      <w:r w:rsidR="00940A47" w:rsidRPr="00FE1BA6">
        <w:rPr>
          <w:rFonts w:cstheme="minorHAnsi"/>
          <w:highlight w:val="yellow"/>
        </w:rPr>
        <w:t xml:space="preserve"> legalább részleges védelem várható a COVID-19 fertőzéssel szemben.</w:t>
      </w:r>
    </w:p>
    <w:p w14:paraId="1411FCE2" w14:textId="77777777" w:rsidR="00A42010" w:rsidRDefault="00A42010" w:rsidP="005828D7">
      <w:pPr>
        <w:spacing w:line="240" w:lineRule="auto"/>
        <w:jc w:val="both"/>
        <w:rPr>
          <w:rFonts w:cstheme="minorHAnsi"/>
        </w:rPr>
      </w:pPr>
    </w:p>
    <w:p w14:paraId="3453E301" w14:textId="4F169883" w:rsidR="005B2521" w:rsidRPr="00CE2AEB" w:rsidRDefault="0090447E" w:rsidP="005828D7">
      <w:pPr>
        <w:spacing w:line="240" w:lineRule="auto"/>
        <w:jc w:val="both"/>
        <w:rPr>
          <w:rFonts w:cstheme="minorHAnsi"/>
        </w:rPr>
      </w:pPr>
      <w:r w:rsidRPr="00CE2AEB">
        <w:rPr>
          <w:rFonts w:cstheme="minorHAnsi"/>
        </w:rPr>
        <w:t xml:space="preserve">Csökkent </w:t>
      </w:r>
      <w:r w:rsidR="00320F42">
        <w:rPr>
          <w:rFonts w:cstheme="minorHAnsi"/>
        </w:rPr>
        <w:t>humorális</w:t>
      </w:r>
      <w:r w:rsidR="00320F42" w:rsidRPr="00CE2AEB">
        <w:rPr>
          <w:rFonts w:cstheme="minorHAnsi"/>
        </w:rPr>
        <w:t xml:space="preserve"> </w:t>
      </w:r>
      <w:r w:rsidR="00DD332F" w:rsidRPr="00CE2AEB">
        <w:rPr>
          <w:rFonts w:cstheme="minorHAnsi"/>
        </w:rPr>
        <w:t xml:space="preserve">vakcinációs </w:t>
      </w:r>
      <w:r w:rsidRPr="00CE2AEB">
        <w:rPr>
          <w:rFonts w:cstheme="minorHAnsi"/>
        </w:rPr>
        <w:t xml:space="preserve">immunválaszra elsősorban </w:t>
      </w:r>
      <w:r w:rsidR="00027CB0" w:rsidRPr="00CE2AEB">
        <w:rPr>
          <w:rFonts w:cstheme="minorHAnsi"/>
        </w:rPr>
        <w:t xml:space="preserve">az alábbi kezelések esetén számíthatunk </w:t>
      </w:r>
      <w:r w:rsidR="00027CB0" w:rsidRPr="00C17FB0">
        <w:rPr>
          <w:rFonts w:cstheme="minorHAnsi"/>
          <w:highlight w:val="yellow"/>
        </w:rPr>
        <w:t>(</w:t>
      </w:r>
      <w:r w:rsidR="00E95408">
        <w:rPr>
          <w:rFonts w:cstheme="minorHAnsi"/>
          <w:highlight w:val="yellow"/>
        </w:rPr>
        <w:t xml:space="preserve">a korábbi más vakcinákkal szerzett eredmények és </w:t>
      </w:r>
      <w:r w:rsidR="00C17FB0" w:rsidRPr="00C17FB0">
        <w:rPr>
          <w:rFonts w:cstheme="minorHAnsi"/>
          <w:highlight w:val="yellow"/>
        </w:rPr>
        <w:t>a legújabban megjelen</w:t>
      </w:r>
      <w:r w:rsidR="0019015D">
        <w:rPr>
          <w:rFonts w:cstheme="minorHAnsi"/>
          <w:highlight w:val="yellow"/>
        </w:rPr>
        <w:t xml:space="preserve">t, </w:t>
      </w:r>
      <w:r w:rsidR="00E95408">
        <w:rPr>
          <w:rFonts w:cstheme="minorHAnsi"/>
          <w:highlight w:val="yellow"/>
        </w:rPr>
        <w:t>relatív</w:t>
      </w:r>
      <w:r w:rsidR="0019015D">
        <w:rPr>
          <w:rFonts w:cstheme="minorHAnsi"/>
          <w:highlight w:val="yellow"/>
        </w:rPr>
        <w:t xml:space="preserve"> kis betegszámot vizsgáló</w:t>
      </w:r>
      <w:r w:rsidR="00C17FB0" w:rsidRPr="00C17FB0">
        <w:rPr>
          <w:rFonts w:cstheme="minorHAnsi"/>
          <w:highlight w:val="yellow"/>
        </w:rPr>
        <w:t xml:space="preserve"> COVID-19 vakcinációra adott </w:t>
      </w:r>
      <w:r w:rsidR="00B76C01">
        <w:rPr>
          <w:rFonts w:cstheme="minorHAnsi"/>
          <w:highlight w:val="yellow"/>
        </w:rPr>
        <w:t xml:space="preserve">humorális és celluláris </w:t>
      </w:r>
      <w:r w:rsidR="00C17FB0" w:rsidRPr="00C17FB0">
        <w:rPr>
          <w:rFonts w:cstheme="minorHAnsi"/>
          <w:highlight w:val="yellow"/>
        </w:rPr>
        <w:t>immunválaszt vizsgáló tanulmányok alapján</w:t>
      </w:r>
      <w:r w:rsidR="00027CB0" w:rsidRPr="00C17FB0">
        <w:rPr>
          <w:rFonts w:cstheme="minorHAnsi"/>
          <w:highlight w:val="yellow"/>
        </w:rPr>
        <w:t>):</w:t>
      </w:r>
    </w:p>
    <w:p w14:paraId="70D23859" w14:textId="09F0D5BA" w:rsidR="000714AC" w:rsidRPr="008E65F9" w:rsidRDefault="00086437" w:rsidP="005828D7">
      <w:pPr>
        <w:pStyle w:val="Listaszerbekezds"/>
        <w:numPr>
          <w:ilvl w:val="0"/>
          <w:numId w:val="19"/>
        </w:numPr>
        <w:spacing w:line="240" w:lineRule="auto"/>
        <w:contextualSpacing w:val="0"/>
        <w:jc w:val="both"/>
        <w:rPr>
          <w:rFonts w:cstheme="minorHAnsi"/>
          <w:highlight w:val="yellow"/>
        </w:rPr>
      </w:pPr>
      <w:r w:rsidRPr="008E65F9">
        <w:rPr>
          <w:rFonts w:cstheme="minorHAnsi"/>
          <w:highlight w:val="yellow"/>
        </w:rPr>
        <w:t>fingolimod, s</w:t>
      </w:r>
      <w:r w:rsidR="571F0D8E" w:rsidRPr="008E65F9">
        <w:rPr>
          <w:rFonts w:cstheme="minorHAnsi"/>
          <w:highlight w:val="yellow"/>
        </w:rPr>
        <w:t>z</w:t>
      </w:r>
      <w:r w:rsidRPr="008E65F9">
        <w:rPr>
          <w:rFonts w:cstheme="minorHAnsi"/>
          <w:highlight w:val="yellow"/>
        </w:rPr>
        <w:t>iponimod</w:t>
      </w:r>
    </w:p>
    <w:p w14:paraId="0C1BC6DA" w14:textId="311E4F63" w:rsidR="000714AC" w:rsidRPr="008E65F9" w:rsidRDefault="00086437" w:rsidP="005828D7">
      <w:pPr>
        <w:pStyle w:val="Listaszerbekezds"/>
        <w:numPr>
          <w:ilvl w:val="0"/>
          <w:numId w:val="19"/>
        </w:numPr>
        <w:spacing w:line="240" w:lineRule="auto"/>
        <w:contextualSpacing w:val="0"/>
        <w:jc w:val="both"/>
        <w:rPr>
          <w:rFonts w:cstheme="minorHAnsi"/>
          <w:highlight w:val="yellow"/>
        </w:rPr>
      </w:pPr>
      <w:r w:rsidRPr="008E65F9">
        <w:rPr>
          <w:rFonts w:cstheme="minorHAnsi"/>
          <w:highlight w:val="yellow"/>
        </w:rPr>
        <w:t>o</w:t>
      </w:r>
      <w:r w:rsidR="6C0B87CB" w:rsidRPr="008E65F9">
        <w:rPr>
          <w:rFonts w:cstheme="minorHAnsi"/>
          <w:highlight w:val="yellow"/>
        </w:rPr>
        <w:t>k</w:t>
      </w:r>
      <w:r w:rsidRPr="008E65F9">
        <w:rPr>
          <w:rFonts w:cstheme="minorHAnsi"/>
          <w:highlight w:val="yellow"/>
        </w:rPr>
        <w:t xml:space="preserve">relizumab, </w:t>
      </w:r>
      <w:r w:rsidR="00F30EA0" w:rsidRPr="008E65F9">
        <w:rPr>
          <w:rFonts w:cstheme="minorHAnsi"/>
          <w:highlight w:val="yellow"/>
        </w:rPr>
        <w:t>rituximab,</w:t>
      </w:r>
    </w:p>
    <w:p w14:paraId="0FF8AAA6" w14:textId="53B4B32E" w:rsidR="000714AC" w:rsidRDefault="0D05E5C7" w:rsidP="005828D7">
      <w:pPr>
        <w:pStyle w:val="Listaszerbekezds"/>
        <w:numPr>
          <w:ilvl w:val="0"/>
          <w:numId w:val="19"/>
        </w:numPr>
        <w:spacing w:line="240" w:lineRule="auto"/>
        <w:contextualSpacing w:val="0"/>
        <w:jc w:val="both"/>
        <w:rPr>
          <w:rFonts w:cstheme="minorHAnsi"/>
          <w:highlight w:val="yellow"/>
        </w:rPr>
      </w:pPr>
      <w:r w:rsidRPr="008E65F9">
        <w:rPr>
          <w:rFonts w:cstheme="minorHAnsi"/>
          <w:highlight w:val="yellow"/>
        </w:rPr>
        <w:t>mitoxantron</w:t>
      </w:r>
    </w:p>
    <w:p w14:paraId="51A92B11" w14:textId="22637183" w:rsidR="00F30EA0" w:rsidRPr="008E65F9" w:rsidRDefault="00C0010E" w:rsidP="005828D7">
      <w:pPr>
        <w:pStyle w:val="Listaszerbekezds"/>
        <w:numPr>
          <w:ilvl w:val="0"/>
          <w:numId w:val="19"/>
        </w:numPr>
        <w:spacing w:line="240" w:lineRule="auto"/>
        <w:contextualSpacing w:val="0"/>
        <w:jc w:val="both"/>
        <w:rPr>
          <w:rFonts w:cstheme="minorHAnsi"/>
          <w:highlight w:val="yellow"/>
        </w:rPr>
      </w:pPr>
      <w:r w:rsidRPr="008E65F9">
        <w:rPr>
          <w:rFonts w:cstheme="minorHAnsi"/>
          <w:highlight w:val="yellow"/>
        </w:rPr>
        <w:t>szteroid lökéskezelést követően</w:t>
      </w:r>
    </w:p>
    <w:p w14:paraId="065B38BB" w14:textId="77777777" w:rsidR="00F45C61" w:rsidRDefault="00F45C61" w:rsidP="005828D7">
      <w:pPr>
        <w:spacing w:line="240" w:lineRule="auto"/>
        <w:jc w:val="both"/>
        <w:rPr>
          <w:rFonts w:cstheme="minorHAnsi"/>
        </w:rPr>
      </w:pPr>
    </w:p>
    <w:p w14:paraId="7327AB24" w14:textId="21A282D6" w:rsidR="005C512A" w:rsidRDefault="005C512A" w:rsidP="005828D7">
      <w:pPr>
        <w:spacing w:line="240" w:lineRule="auto"/>
        <w:jc w:val="both"/>
        <w:rPr>
          <w:rFonts w:cstheme="minorHAnsi"/>
        </w:rPr>
      </w:pPr>
      <w:r>
        <w:rPr>
          <w:rFonts w:cstheme="minorHAnsi"/>
        </w:rPr>
        <w:t xml:space="preserve">Az SM-ben alkalmazott immunkezelések </w:t>
      </w:r>
      <w:r w:rsidR="00E120EA" w:rsidRPr="00CE2AEB">
        <w:rPr>
          <w:rFonts w:cstheme="minorHAnsi"/>
        </w:rPr>
        <w:t>esetében a COVID-</w:t>
      </w:r>
      <w:r w:rsidR="00C92630" w:rsidRPr="00CE2AEB">
        <w:rPr>
          <w:rFonts w:cstheme="minorHAnsi"/>
        </w:rPr>
        <w:t xml:space="preserve">19 </w:t>
      </w:r>
      <w:r>
        <w:rPr>
          <w:rFonts w:cstheme="minorHAnsi"/>
        </w:rPr>
        <w:t xml:space="preserve">vakcináció időzítését az </w:t>
      </w:r>
      <w:r w:rsidR="00F45C61">
        <w:rPr>
          <w:rFonts w:cstheme="minorHAnsi"/>
          <w:b/>
          <w:bCs/>
          <w:i/>
          <w:iCs/>
        </w:rPr>
        <w:t>2</w:t>
      </w:r>
      <w:r w:rsidRPr="005C512A">
        <w:rPr>
          <w:rFonts w:cstheme="minorHAnsi"/>
          <w:b/>
          <w:bCs/>
          <w:i/>
          <w:iCs/>
        </w:rPr>
        <w:t>. Táblázat</w:t>
      </w:r>
      <w:r>
        <w:rPr>
          <w:rFonts w:cstheme="minorHAnsi"/>
        </w:rPr>
        <w:t xml:space="preserve"> foglalja össze.</w:t>
      </w:r>
    </w:p>
    <w:p w14:paraId="2533C1E5" w14:textId="4DA239F2" w:rsidR="005C512A" w:rsidRDefault="005C512A" w:rsidP="005828D7">
      <w:pPr>
        <w:spacing w:line="240" w:lineRule="auto"/>
        <w:jc w:val="both"/>
        <w:rPr>
          <w:rFonts w:cstheme="minorHAnsi"/>
        </w:rPr>
      </w:pPr>
    </w:p>
    <w:p w14:paraId="4FFF8E0F" w14:textId="03E32E15" w:rsidR="005C512A" w:rsidRDefault="00F45C61" w:rsidP="005C512A">
      <w:r>
        <w:rPr>
          <w:b/>
          <w:bCs/>
        </w:rPr>
        <w:t>2</w:t>
      </w:r>
      <w:r w:rsidR="005C512A" w:rsidRPr="00D17929">
        <w:rPr>
          <w:b/>
          <w:bCs/>
        </w:rPr>
        <w:t>. Táblázat</w:t>
      </w:r>
      <w:r w:rsidR="005C512A">
        <w:t>: A COVID-19 vakcinálás (2 dózisúak) időzítése</w:t>
      </w:r>
      <w:r w:rsidR="005C512A" w:rsidRPr="008C7B0D">
        <w:t xml:space="preserve"> </w:t>
      </w:r>
      <w:r w:rsidR="005C512A">
        <w:t>immunmoduláns kezelés esetén sclerosis multiplexben</w:t>
      </w:r>
    </w:p>
    <w:tbl>
      <w:tblPr>
        <w:tblStyle w:val="Rcsostblzat"/>
        <w:tblW w:w="0" w:type="auto"/>
        <w:tblLook w:val="04A0" w:firstRow="1" w:lastRow="0" w:firstColumn="1" w:lastColumn="0" w:noHBand="0" w:noVBand="1"/>
      </w:tblPr>
      <w:tblGrid>
        <w:gridCol w:w="3653"/>
        <w:gridCol w:w="2691"/>
        <w:gridCol w:w="2718"/>
      </w:tblGrid>
      <w:tr w:rsidR="005C512A" w14:paraId="31D2D479" w14:textId="77777777" w:rsidTr="005C512A">
        <w:tc>
          <w:tcPr>
            <w:tcW w:w="3653" w:type="dxa"/>
            <w:vAlign w:val="center"/>
          </w:tcPr>
          <w:p w14:paraId="19F9C59F" w14:textId="77777777" w:rsidR="005C512A" w:rsidRPr="00BF7FF4" w:rsidRDefault="005C512A" w:rsidP="004B193F">
            <w:pPr>
              <w:jc w:val="center"/>
              <w:rPr>
                <w:b/>
              </w:rPr>
            </w:pPr>
            <w:r w:rsidRPr="00BF7FF4">
              <w:rPr>
                <w:b/>
              </w:rPr>
              <w:t>Immunmoduláns/immunszuppresszív</w:t>
            </w:r>
            <w:r>
              <w:rPr>
                <w:b/>
              </w:rPr>
              <w:t xml:space="preserve"> gyógyszer</w:t>
            </w:r>
          </w:p>
        </w:tc>
        <w:tc>
          <w:tcPr>
            <w:tcW w:w="2691" w:type="dxa"/>
            <w:vAlign w:val="center"/>
          </w:tcPr>
          <w:p w14:paraId="1E1F1505" w14:textId="77777777" w:rsidR="005C512A" w:rsidRPr="00BF7FF4" w:rsidRDefault="005C512A" w:rsidP="004B193F">
            <w:pPr>
              <w:jc w:val="center"/>
              <w:rPr>
                <w:b/>
              </w:rPr>
            </w:pPr>
            <w:r w:rsidRPr="00BF7FF4">
              <w:rPr>
                <w:b/>
              </w:rPr>
              <w:t>Kezelés indítás</w:t>
            </w:r>
            <w:r>
              <w:rPr>
                <w:b/>
              </w:rPr>
              <w:t>ának</w:t>
            </w:r>
            <w:r w:rsidRPr="00BF7FF4">
              <w:rPr>
                <w:b/>
              </w:rPr>
              <w:t xml:space="preserve"> tervezése</w:t>
            </w:r>
          </w:p>
        </w:tc>
        <w:tc>
          <w:tcPr>
            <w:tcW w:w="2718" w:type="dxa"/>
            <w:vAlign w:val="center"/>
          </w:tcPr>
          <w:p w14:paraId="29761365" w14:textId="77777777" w:rsidR="005C512A" w:rsidRPr="00BF7FF4" w:rsidRDefault="005C512A" w:rsidP="004B193F">
            <w:pPr>
              <w:jc w:val="center"/>
              <w:rPr>
                <w:b/>
              </w:rPr>
            </w:pPr>
            <w:r w:rsidRPr="00BF7FF4">
              <w:rPr>
                <w:b/>
              </w:rPr>
              <w:t>Már kezelés</w:t>
            </w:r>
            <w:r>
              <w:rPr>
                <w:b/>
              </w:rPr>
              <w:t xml:space="preserve"> alatt álló beteg</w:t>
            </w:r>
          </w:p>
        </w:tc>
      </w:tr>
      <w:tr w:rsidR="005C512A" w14:paraId="633AF480" w14:textId="77777777" w:rsidTr="005C512A">
        <w:trPr>
          <w:trHeight w:val="680"/>
        </w:trPr>
        <w:tc>
          <w:tcPr>
            <w:tcW w:w="3653" w:type="dxa"/>
            <w:vAlign w:val="center"/>
          </w:tcPr>
          <w:p w14:paraId="002DE414" w14:textId="77777777" w:rsidR="005C512A" w:rsidRDefault="005C512A" w:rsidP="004B193F">
            <w:r>
              <w:t>béta interferon készítmények, glatiramer-acetát, teriflunomid, dimetil-fumarát, natalizumab</w:t>
            </w:r>
          </w:p>
        </w:tc>
        <w:tc>
          <w:tcPr>
            <w:tcW w:w="5409" w:type="dxa"/>
            <w:gridSpan w:val="2"/>
            <w:vAlign w:val="center"/>
          </w:tcPr>
          <w:p w14:paraId="7B9376A1" w14:textId="77777777" w:rsidR="005C512A" w:rsidRDefault="005C512A" w:rsidP="004B193F">
            <w:pPr>
              <w:jc w:val="center"/>
            </w:pPr>
            <w:r>
              <w:t>időzítést nem igényel</w:t>
            </w:r>
          </w:p>
        </w:tc>
      </w:tr>
      <w:tr w:rsidR="00DB552B" w14:paraId="5ECF526A" w14:textId="77777777" w:rsidTr="005C512A">
        <w:tc>
          <w:tcPr>
            <w:tcW w:w="3653" w:type="dxa"/>
            <w:vAlign w:val="center"/>
          </w:tcPr>
          <w:p w14:paraId="54FFB685" w14:textId="350D3344" w:rsidR="00DB552B" w:rsidRDefault="00DB552B" w:rsidP="00DB552B">
            <w:r>
              <w:t>fingolimod, sziponimod</w:t>
            </w:r>
          </w:p>
        </w:tc>
        <w:tc>
          <w:tcPr>
            <w:tcW w:w="2691" w:type="dxa"/>
            <w:vAlign w:val="center"/>
          </w:tcPr>
          <w:p w14:paraId="710A0027" w14:textId="56748241" w:rsidR="00DB552B" w:rsidRDefault="00DB552B" w:rsidP="00DB552B">
            <w:r>
              <w:t>a kezelés indítása a 2. oltás beadása után ≥4 héttel</w:t>
            </w:r>
          </w:p>
        </w:tc>
        <w:tc>
          <w:tcPr>
            <w:tcW w:w="2718" w:type="dxa"/>
            <w:vAlign w:val="center"/>
          </w:tcPr>
          <w:p w14:paraId="27B4D154" w14:textId="4EB5ED8D" w:rsidR="00DB552B" w:rsidRDefault="00DB552B" w:rsidP="00DB552B">
            <w:r>
              <w:t>időzítést nem igényel</w:t>
            </w:r>
          </w:p>
        </w:tc>
      </w:tr>
      <w:tr w:rsidR="00DB552B" w14:paraId="2A2F8F09" w14:textId="77777777" w:rsidTr="005C512A">
        <w:tc>
          <w:tcPr>
            <w:tcW w:w="3653" w:type="dxa"/>
            <w:vAlign w:val="center"/>
          </w:tcPr>
          <w:p w14:paraId="6862316D" w14:textId="1B2735D1" w:rsidR="00DB552B" w:rsidRDefault="00DB552B" w:rsidP="00DB552B">
            <w:r>
              <w:t>k</w:t>
            </w:r>
            <w:r w:rsidRPr="00EA715E">
              <w:t>ladribin</w:t>
            </w:r>
          </w:p>
        </w:tc>
        <w:tc>
          <w:tcPr>
            <w:tcW w:w="2691" w:type="dxa"/>
            <w:vAlign w:val="center"/>
          </w:tcPr>
          <w:p w14:paraId="1A0F05E1" w14:textId="4A485AEE" w:rsidR="00DB552B" w:rsidRDefault="00DB552B" w:rsidP="00DB552B">
            <w:r>
              <w:t>a kezelés indítása a 2. oltás beadása után ≥4 héttel</w:t>
            </w:r>
          </w:p>
        </w:tc>
        <w:tc>
          <w:tcPr>
            <w:tcW w:w="2718" w:type="dxa"/>
            <w:vAlign w:val="center"/>
          </w:tcPr>
          <w:p w14:paraId="54D54BA7" w14:textId="6AE27464" w:rsidR="00DB552B" w:rsidRDefault="00DB552B" w:rsidP="00DB552B">
            <w:r>
              <w:t xml:space="preserve">a </w:t>
            </w:r>
            <w:r w:rsidRPr="00EA715E">
              <w:t>va</w:t>
            </w:r>
            <w:r>
              <w:t>k</w:t>
            </w:r>
            <w:r w:rsidRPr="00EA715E">
              <w:t>cin</w:t>
            </w:r>
            <w:r>
              <w:t>áció</w:t>
            </w:r>
            <w:r w:rsidRPr="00EA715E">
              <w:t xml:space="preserve"> </w:t>
            </w:r>
            <w:r>
              <w:t xml:space="preserve">az </w:t>
            </w:r>
            <w:r w:rsidRPr="00EA715E">
              <w:t>utolsó dózist követően</w:t>
            </w:r>
            <w:r>
              <w:t xml:space="preserve"> bármikor elvégezhető, javasolt ≥4 héttel;</w:t>
            </w:r>
          </w:p>
          <w:p w14:paraId="4D615610" w14:textId="6440BAC0" w:rsidR="00DB552B" w:rsidRDefault="00DB552B" w:rsidP="00DB552B">
            <w:r>
              <w:t>a következő kladribin-dózis beadása a 2. COVID vakcina után ≥4 héttel</w:t>
            </w:r>
          </w:p>
        </w:tc>
      </w:tr>
      <w:tr w:rsidR="00DB552B" w14:paraId="04E23039" w14:textId="77777777" w:rsidTr="005C512A">
        <w:tc>
          <w:tcPr>
            <w:tcW w:w="3653" w:type="dxa"/>
            <w:vAlign w:val="center"/>
          </w:tcPr>
          <w:p w14:paraId="39009DBC" w14:textId="7C74079A" w:rsidR="00DB552B" w:rsidRDefault="00DB552B" w:rsidP="00DB552B">
            <w:r>
              <w:t>okrelizumab, rituximab</w:t>
            </w:r>
          </w:p>
        </w:tc>
        <w:tc>
          <w:tcPr>
            <w:tcW w:w="2691" w:type="dxa"/>
            <w:vAlign w:val="center"/>
          </w:tcPr>
          <w:p w14:paraId="67B01773" w14:textId="0A54A093" w:rsidR="00DB552B" w:rsidRDefault="00DB552B" w:rsidP="00DB552B">
            <w:r>
              <w:t>a kezelés indítása a 2. oltás beadása után ≥4 héttel</w:t>
            </w:r>
          </w:p>
        </w:tc>
        <w:tc>
          <w:tcPr>
            <w:tcW w:w="2718" w:type="dxa"/>
            <w:vAlign w:val="center"/>
          </w:tcPr>
          <w:p w14:paraId="6BA0E42B" w14:textId="22B98B0B" w:rsidR="00DB552B" w:rsidRDefault="00DB552B" w:rsidP="00DB552B">
            <w:r>
              <w:t>vakcináció a kanadai ajánlás szerint 4-6 héttel, a brit és USA ajánlás szerint 3 hónappal az utolsó okrelizumab-dózist követően;</w:t>
            </w:r>
          </w:p>
          <w:p w14:paraId="69809508" w14:textId="6DB849D9" w:rsidR="00DB552B" w:rsidRDefault="00DB552B" w:rsidP="00DB552B">
            <w:r>
              <w:t xml:space="preserve">a következő okrelizumab-dózis kerülendő a COVID vakcina 2. oltása után ≤4 hétig </w:t>
            </w:r>
          </w:p>
        </w:tc>
      </w:tr>
      <w:tr w:rsidR="00DB552B" w14:paraId="3D65B825" w14:textId="77777777" w:rsidTr="005C512A">
        <w:tc>
          <w:tcPr>
            <w:tcW w:w="3653" w:type="dxa"/>
            <w:vAlign w:val="center"/>
          </w:tcPr>
          <w:p w14:paraId="7785038C" w14:textId="0E92FA1D" w:rsidR="00DB552B" w:rsidRDefault="00DB552B" w:rsidP="00DB552B">
            <w:r>
              <w:t>ofatumumab</w:t>
            </w:r>
          </w:p>
        </w:tc>
        <w:tc>
          <w:tcPr>
            <w:tcW w:w="2691" w:type="dxa"/>
            <w:vAlign w:val="center"/>
          </w:tcPr>
          <w:p w14:paraId="44E60686" w14:textId="27C0E2E1" w:rsidR="00DB552B" w:rsidRDefault="00DB552B" w:rsidP="00DB552B">
            <w:r>
              <w:t>a kezelés indítása a 2. oltás beadása után ≥4 héttel</w:t>
            </w:r>
          </w:p>
        </w:tc>
        <w:tc>
          <w:tcPr>
            <w:tcW w:w="2718" w:type="dxa"/>
            <w:vAlign w:val="center"/>
          </w:tcPr>
          <w:p w14:paraId="4795157A" w14:textId="336CE21F" w:rsidR="00DB552B" w:rsidRDefault="00DB552B" w:rsidP="00DB552B">
            <w:r>
              <w:t>vakcináció 4 héttel a beadott dózist követően, újrakezdés 4 héttel (dózis kihagyással) a 2. COVID oltást követően</w:t>
            </w:r>
          </w:p>
        </w:tc>
      </w:tr>
      <w:tr w:rsidR="00DB552B" w14:paraId="59C5676D" w14:textId="77777777" w:rsidTr="005C512A">
        <w:tc>
          <w:tcPr>
            <w:tcW w:w="3653" w:type="dxa"/>
            <w:vAlign w:val="center"/>
          </w:tcPr>
          <w:p w14:paraId="24408DCF" w14:textId="77777777" w:rsidR="00DB552B" w:rsidRDefault="00DB552B" w:rsidP="00DB552B">
            <w:r>
              <w:lastRenderedPageBreak/>
              <w:t>alemtuzumab</w:t>
            </w:r>
          </w:p>
        </w:tc>
        <w:tc>
          <w:tcPr>
            <w:tcW w:w="2691" w:type="dxa"/>
            <w:vAlign w:val="center"/>
          </w:tcPr>
          <w:p w14:paraId="5B8D1377" w14:textId="77777777" w:rsidR="00DB552B" w:rsidRDefault="00DB552B" w:rsidP="00DB552B">
            <w:r>
              <w:t>a kezelés indítása a 2. oltás beadása után ≥4 héttel</w:t>
            </w:r>
          </w:p>
        </w:tc>
        <w:tc>
          <w:tcPr>
            <w:tcW w:w="2718" w:type="dxa"/>
            <w:vAlign w:val="center"/>
          </w:tcPr>
          <w:p w14:paraId="4E30B131" w14:textId="77777777" w:rsidR="00DB552B" w:rsidRDefault="00DB552B" w:rsidP="00DB552B">
            <w:r>
              <w:t>az utolsó alemtuzumab dózist követően a vakcináció a brit és a kanadai ajánlás szerint ≥3 hónappal, USA ajánlás szerint 6 hónappal indítható;</w:t>
            </w:r>
          </w:p>
          <w:p w14:paraId="3D0A9365" w14:textId="662D23C4" w:rsidR="00DB552B" w:rsidRDefault="00DB552B" w:rsidP="00DB552B">
            <w:r>
              <w:t>a következő alemtuzumab-dózis a kanadai ajánlás szerint a 2. COVID vakcina után ≥6 hónappal, a brit ajánlás szerint legalább 2 héttel, az USA ajánlás szerint 4 héttel adható</w:t>
            </w:r>
          </w:p>
        </w:tc>
      </w:tr>
    </w:tbl>
    <w:p w14:paraId="6395C4E4" w14:textId="77777777" w:rsidR="005C512A" w:rsidRDefault="005C512A" w:rsidP="005828D7">
      <w:pPr>
        <w:spacing w:line="240" w:lineRule="auto"/>
        <w:jc w:val="both"/>
        <w:rPr>
          <w:rFonts w:cstheme="minorHAnsi"/>
        </w:rPr>
      </w:pPr>
    </w:p>
    <w:p w14:paraId="0A0CBAEF" w14:textId="732B9FC4" w:rsidR="00497C6D" w:rsidRPr="00C80BD3" w:rsidRDefault="00497C6D" w:rsidP="005828D7">
      <w:pPr>
        <w:spacing w:line="240" w:lineRule="auto"/>
        <w:jc w:val="both"/>
        <w:rPr>
          <w:rFonts w:cstheme="minorHAnsi"/>
        </w:rPr>
      </w:pPr>
      <w:r w:rsidRPr="00C80BD3">
        <w:rPr>
          <w:rFonts w:cstheme="minorHAnsi"/>
        </w:rPr>
        <w:t>A béta-interferon, glatiramer-acetát, teriflunomid, dimetil-fumarát, és natalizumab kezelések esetében a COVID-19 vakcináció bármikor elvégezhető, időzítést nem igényel.</w:t>
      </w:r>
    </w:p>
    <w:p w14:paraId="1489F965" w14:textId="256C2849" w:rsidR="0010615B" w:rsidRPr="00CE2AEB" w:rsidRDefault="00497C6D" w:rsidP="005828D7">
      <w:pPr>
        <w:spacing w:line="240" w:lineRule="auto"/>
        <w:jc w:val="both"/>
        <w:rPr>
          <w:rFonts w:cstheme="minorHAnsi"/>
        </w:rPr>
      </w:pPr>
      <w:r w:rsidRPr="00C80BD3">
        <w:rPr>
          <w:rFonts w:cstheme="minorHAnsi"/>
        </w:rPr>
        <w:t>A vakcináció időzítését szükségeltető kezelések</w:t>
      </w:r>
      <w:r w:rsidR="008D5190" w:rsidRPr="00C80BD3">
        <w:rPr>
          <w:rFonts w:cstheme="minorHAnsi"/>
        </w:rPr>
        <w:t>:</w:t>
      </w:r>
    </w:p>
    <w:p w14:paraId="18A3D258" w14:textId="77777777" w:rsidR="00497C6D" w:rsidRPr="00BD151C" w:rsidRDefault="00497C6D" w:rsidP="00497C6D">
      <w:pPr>
        <w:pStyle w:val="Listaszerbekezds"/>
        <w:numPr>
          <w:ilvl w:val="0"/>
          <w:numId w:val="19"/>
        </w:numPr>
        <w:spacing w:line="240" w:lineRule="auto"/>
        <w:ind w:left="709"/>
        <w:contextualSpacing w:val="0"/>
        <w:jc w:val="both"/>
        <w:rPr>
          <w:rFonts w:cstheme="minorHAnsi"/>
        </w:rPr>
      </w:pPr>
      <w:r w:rsidRPr="00BD151C">
        <w:rPr>
          <w:rFonts w:cstheme="minorHAnsi"/>
          <w:b/>
          <w:bCs/>
        </w:rPr>
        <w:t>Kladribin</w:t>
      </w:r>
      <w:r w:rsidRPr="00BD151C">
        <w:rPr>
          <w:rFonts w:cstheme="minorHAnsi"/>
        </w:rPr>
        <w:t>-kezelés:</w:t>
      </w:r>
    </w:p>
    <w:p w14:paraId="5FC92859" w14:textId="77777777" w:rsidR="00497C6D" w:rsidRPr="00C80BD3" w:rsidRDefault="00497C6D" w:rsidP="00497C6D">
      <w:pPr>
        <w:pStyle w:val="Listaszerbekezds"/>
        <w:numPr>
          <w:ilvl w:val="0"/>
          <w:numId w:val="19"/>
        </w:numPr>
        <w:spacing w:line="240" w:lineRule="auto"/>
        <w:ind w:left="1134"/>
        <w:contextualSpacing w:val="0"/>
        <w:jc w:val="both"/>
        <w:rPr>
          <w:rFonts w:cstheme="minorHAnsi"/>
        </w:rPr>
      </w:pPr>
      <w:r w:rsidRPr="00C80BD3">
        <w:rPr>
          <w:rFonts w:cstheme="minorHAnsi"/>
        </w:rPr>
        <w:t xml:space="preserve">Kladribin-kezelés előtt megfontolandó a kezelés megkezdésének halasztása a COVID-19 vakcináció elvégzéséig, amennyiben a védőoltás a beteg számára elérhető, és a kezelés megkezdésének halasztása nem veszélyezteti a beteget. A kezelés megkezdése a vakcináció után </w:t>
      </w:r>
      <w:r w:rsidRPr="00C80BD3">
        <w:rPr>
          <w:rFonts w:cstheme="minorHAnsi"/>
        </w:rPr>
        <w:sym w:font="Symbol" w:char="F0B3"/>
      </w:r>
      <w:r w:rsidRPr="00C80BD3">
        <w:rPr>
          <w:rFonts w:cstheme="minorHAnsi"/>
        </w:rPr>
        <w:t>4 héttel javasolt.</w:t>
      </w:r>
    </w:p>
    <w:p w14:paraId="431DC8E1" w14:textId="3318889A" w:rsidR="00497C6D" w:rsidRPr="00C80BD3" w:rsidRDefault="00497C6D" w:rsidP="00497C6D">
      <w:pPr>
        <w:pStyle w:val="Listaszerbekezds"/>
        <w:numPr>
          <w:ilvl w:val="0"/>
          <w:numId w:val="19"/>
        </w:numPr>
        <w:spacing w:line="240" w:lineRule="auto"/>
        <w:ind w:left="1134"/>
        <w:contextualSpacing w:val="0"/>
        <w:jc w:val="both"/>
        <w:rPr>
          <w:rFonts w:cstheme="minorHAnsi"/>
        </w:rPr>
      </w:pPr>
      <w:r w:rsidRPr="00C80BD3">
        <w:rPr>
          <w:rFonts w:cstheme="minorHAnsi"/>
        </w:rPr>
        <w:t xml:space="preserve">Kladribin-kezelés alatt álló beteg esetében a legújabb, korlátozott számú adat arra utal, hogy a limfocita-szám nem </w:t>
      </w:r>
      <w:r w:rsidR="00150FDD" w:rsidRPr="00C80BD3">
        <w:rPr>
          <w:rFonts w:cstheme="minorHAnsi"/>
        </w:rPr>
        <w:t xml:space="preserve">befolyásolja </w:t>
      </w:r>
      <w:r w:rsidRPr="00C80BD3">
        <w:rPr>
          <w:rFonts w:cstheme="minorHAnsi"/>
        </w:rPr>
        <w:t xml:space="preserve">a vakcinára adott immunválasz hatékonyságát, mely alapján a vakcináció bármikor elvégezhető, a vakcina beadása a kezelés után </w:t>
      </w:r>
      <w:r w:rsidRPr="00C80BD3">
        <w:rPr>
          <w:rFonts w:cstheme="minorHAnsi"/>
        </w:rPr>
        <w:sym w:font="Symbol" w:char="F0B3"/>
      </w:r>
      <w:r w:rsidRPr="00C80BD3">
        <w:rPr>
          <w:rFonts w:cstheme="minorHAnsi"/>
        </w:rPr>
        <w:t>4 hét múlva javasolt</w:t>
      </w:r>
      <w:r w:rsidR="00E43DBE" w:rsidRPr="00C80BD3">
        <w:rPr>
          <w:rFonts w:cstheme="minorHAnsi"/>
        </w:rPr>
        <w:t>, optimális esetben a l</w:t>
      </w:r>
      <w:r w:rsidR="00F45C61" w:rsidRPr="00C80BD3">
        <w:rPr>
          <w:rFonts w:cstheme="minorHAnsi"/>
        </w:rPr>
        <w:t>imfocita-</w:t>
      </w:r>
      <w:r w:rsidR="00E43DBE" w:rsidRPr="00C80BD3">
        <w:rPr>
          <w:rFonts w:cstheme="minorHAnsi"/>
        </w:rPr>
        <w:t>szám normalizálódását követően</w:t>
      </w:r>
      <w:r w:rsidRPr="00C80BD3">
        <w:rPr>
          <w:rFonts w:cstheme="minorHAnsi"/>
        </w:rPr>
        <w:t>.</w:t>
      </w:r>
    </w:p>
    <w:p w14:paraId="68B044D0" w14:textId="54060D56" w:rsidR="00497C6D" w:rsidRPr="00C80BD3" w:rsidRDefault="00497C6D" w:rsidP="00497C6D">
      <w:pPr>
        <w:pStyle w:val="Listaszerbekezds"/>
        <w:numPr>
          <w:ilvl w:val="0"/>
          <w:numId w:val="19"/>
        </w:numPr>
        <w:spacing w:line="240" w:lineRule="auto"/>
        <w:ind w:left="1134"/>
        <w:contextualSpacing w:val="0"/>
        <w:jc w:val="both"/>
        <w:rPr>
          <w:rFonts w:cstheme="minorHAnsi"/>
        </w:rPr>
      </w:pPr>
      <w:r w:rsidRPr="00C80BD3">
        <w:rPr>
          <w:rFonts w:cstheme="minorHAnsi"/>
        </w:rPr>
        <w:t>Amennyiben kladribin-kezelés alatt a következő kezelési ciklus esedékes, és a vakcina a beteg számára rendelkezésre áll, az újabb ciklus megkezdése halasztható 2 hónappal a vakcinálás érdekében. A következő kezelési</w:t>
      </w:r>
      <w:r w:rsidR="006E2B71" w:rsidRPr="00C80BD3">
        <w:rPr>
          <w:rFonts w:cstheme="minorHAnsi"/>
        </w:rPr>
        <w:t xml:space="preserve"> ciklus</w:t>
      </w:r>
      <w:r w:rsidRPr="00C80BD3">
        <w:rPr>
          <w:rFonts w:cstheme="minorHAnsi"/>
        </w:rPr>
        <w:t xml:space="preserve"> ne induljon a vakcináció után 2 héten belül.</w:t>
      </w:r>
    </w:p>
    <w:p w14:paraId="37FC1627" w14:textId="569916A8" w:rsidR="008D5190" w:rsidRPr="00C80BD3" w:rsidRDefault="008D5190" w:rsidP="005828D7">
      <w:pPr>
        <w:pStyle w:val="Listaszerbekezds"/>
        <w:numPr>
          <w:ilvl w:val="0"/>
          <w:numId w:val="19"/>
        </w:numPr>
        <w:spacing w:line="240" w:lineRule="auto"/>
        <w:contextualSpacing w:val="0"/>
        <w:jc w:val="both"/>
        <w:rPr>
          <w:rFonts w:cstheme="minorHAnsi"/>
        </w:rPr>
      </w:pPr>
      <w:r w:rsidRPr="00C80BD3">
        <w:rPr>
          <w:rFonts w:cstheme="minorHAnsi"/>
          <w:b/>
          <w:bCs/>
        </w:rPr>
        <w:t>Fingolimod</w:t>
      </w:r>
      <w:r w:rsidR="00586056" w:rsidRPr="00C80BD3">
        <w:rPr>
          <w:rFonts w:cstheme="minorHAnsi"/>
          <w:b/>
          <w:bCs/>
        </w:rPr>
        <w:t>-</w:t>
      </w:r>
      <w:r w:rsidRPr="00C80BD3">
        <w:rPr>
          <w:rFonts w:cstheme="minorHAnsi"/>
          <w:b/>
          <w:bCs/>
        </w:rPr>
        <w:t>, s</w:t>
      </w:r>
      <w:r w:rsidR="2EED0DA5" w:rsidRPr="00C80BD3">
        <w:rPr>
          <w:rFonts w:cstheme="minorHAnsi"/>
          <w:b/>
          <w:bCs/>
        </w:rPr>
        <w:t>z</w:t>
      </w:r>
      <w:r w:rsidRPr="00C80BD3">
        <w:rPr>
          <w:rFonts w:cstheme="minorHAnsi"/>
          <w:b/>
          <w:bCs/>
        </w:rPr>
        <w:t>iponimod</w:t>
      </w:r>
      <w:r w:rsidR="00586056" w:rsidRPr="00C80BD3">
        <w:rPr>
          <w:rFonts w:cstheme="minorHAnsi"/>
        </w:rPr>
        <w:t>-</w:t>
      </w:r>
      <w:r w:rsidRPr="00C80BD3">
        <w:rPr>
          <w:rFonts w:cstheme="minorHAnsi"/>
        </w:rPr>
        <w:t xml:space="preserve">kezelés: </w:t>
      </w:r>
      <w:r w:rsidR="075C9E9C" w:rsidRPr="00C80BD3">
        <w:rPr>
          <w:rFonts w:cstheme="minorHAnsi"/>
        </w:rPr>
        <w:t xml:space="preserve">lehetőleg a kezelés megkezdése előtt </w:t>
      </w:r>
      <w:r w:rsidR="00497C6D" w:rsidRPr="00C80BD3">
        <w:rPr>
          <w:rFonts w:cstheme="minorHAnsi"/>
        </w:rPr>
        <w:sym w:font="Symbol" w:char="F0B3"/>
      </w:r>
      <w:r w:rsidR="00CE2AEB" w:rsidRPr="00C80BD3">
        <w:rPr>
          <w:rFonts w:cstheme="minorHAnsi"/>
        </w:rPr>
        <w:t xml:space="preserve">4 héttel </w:t>
      </w:r>
      <w:r w:rsidR="075C9E9C" w:rsidRPr="00C80BD3">
        <w:rPr>
          <w:rFonts w:cstheme="minorHAnsi"/>
        </w:rPr>
        <w:t>kell beadni</w:t>
      </w:r>
      <w:r w:rsidRPr="00C80BD3">
        <w:rPr>
          <w:rFonts w:cstheme="minorHAnsi"/>
        </w:rPr>
        <w:t xml:space="preserve"> a védőoltás</w:t>
      </w:r>
      <w:r w:rsidR="0A2E0F0B" w:rsidRPr="00C80BD3">
        <w:rPr>
          <w:rFonts w:cstheme="minorHAnsi"/>
        </w:rPr>
        <w:t>t</w:t>
      </w:r>
      <w:r w:rsidRPr="00C80BD3">
        <w:rPr>
          <w:rFonts w:cstheme="minorHAnsi"/>
        </w:rPr>
        <w:t>; a folyamatban lévő kezelést nem kell/szabad megszakítani a védőoltás beadása miatt, de fel kell hívni a beteg figyelmét arra, hogy a kialakuló védettség az ő eset</w:t>
      </w:r>
      <w:r w:rsidR="00977C91" w:rsidRPr="00C80BD3">
        <w:rPr>
          <w:rFonts w:cstheme="minorHAnsi"/>
        </w:rPr>
        <w:t>ük</w:t>
      </w:r>
      <w:r w:rsidRPr="00C80BD3">
        <w:rPr>
          <w:rFonts w:cstheme="minorHAnsi"/>
        </w:rPr>
        <w:t xml:space="preserve">ben potenciálisan nem lesz teljes körű, </w:t>
      </w:r>
      <w:r w:rsidR="003B6297" w:rsidRPr="00C80BD3">
        <w:rPr>
          <w:rFonts w:cstheme="minorHAnsi"/>
        </w:rPr>
        <w:t xml:space="preserve">ezért </w:t>
      </w:r>
      <w:r w:rsidRPr="00C80BD3">
        <w:rPr>
          <w:rFonts w:cstheme="minorHAnsi"/>
        </w:rPr>
        <w:t xml:space="preserve">az egyéb védekezési szabályok betartása, a fészek-védelem (közvetlen környezetében élők beoltása) </w:t>
      </w:r>
      <w:r w:rsidR="003B6297" w:rsidRPr="00C80BD3">
        <w:rPr>
          <w:rFonts w:cstheme="minorHAnsi"/>
        </w:rPr>
        <w:t>továbbra is fontos</w:t>
      </w:r>
      <w:r w:rsidR="00B54162" w:rsidRPr="00C80BD3">
        <w:rPr>
          <w:rFonts w:cstheme="minorHAnsi"/>
        </w:rPr>
        <w:t>.</w:t>
      </w:r>
    </w:p>
    <w:p w14:paraId="7882DA42" w14:textId="1E57A4BE" w:rsidR="00165DB9" w:rsidRPr="00C80BD3" w:rsidRDefault="0004198A" w:rsidP="005828D7">
      <w:pPr>
        <w:pStyle w:val="Listaszerbekezds"/>
        <w:numPr>
          <w:ilvl w:val="0"/>
          <w:numId w:val="19"/>
        </w:numPr>
        <w:spacing w:line="240" w:lineRule="auto"/>
        <w:contextualSpacing w:val="0"/>
        <w:jc w:val="both"/>
        <w:rPr>
          <w:rFonts w:cstheme="minorHAnsi"/>
        </w:rPr>
      </w:pPr>
      <w:r w:rsidRPr="00C80BD3">
        <w:rPr>
          <w:rFonts w:cstheme="minorHAnsi"/>
          <w:b/>
          <w:bCs/>
        </w:rPr>
        <w:t>O</w:t>
      </w:r>
      <w:r w:rsidR="798EA609" w:rsidRPr="00C80BD3">
        <w:rPr>
          <w:rFonts w:cstheme="minorHAnsi"/>
          <w:b/>
          <w:bCs/>
        </w:rPr>
        <w:t>k</w:t>
      </w:r>
      <w:r w:rsidRPr="00C80BD3">
        <w:rPr>
          <w:rFonts w:cstheme="minorHAnsi"/>
          <w:b/>
          <w:bCs/>
        </w:rPr>
        <w:t>relizumab, rituximab</w:t>
      </w:r>
      <w:r w:rsidR="00586056" w:rsidRPr="00C80BD3">
        <w:rPr>
          <w:rFonts w:cstheme="minorHAnsi"/>
        </w:rPr>
        <w:t>-</w:t>
      </w:r>
      <w:r w:rsidRPr="00C80BD3">
        <w:rPr>
          <w:rFonts w:cstheme="minorHAnsi"/>
        </w:rPr>
        <w:t xml:space="preserve">kezelés: </w:t>
      </w:r>
    </w:p>
    <w:p w14:paraId="6973515C" w14:textId="47FE6AEB" w:rsidR="00716064" w:rsidRPr="00C80BD3" w:rsidRDefault="00165DB9" w:rsidP="005828D7">
      <w:pPr>
        <w:pStyle w:val="Listaszerbekezds"/>
        <w:numPr>
          <w:ilvl w:val="0"/>
          <w:numId w:val="19"/>
        </w:numPr>
        <w:spacing w:line="240" w:lineRule="auto"/>
        <w:ind w:left="1134"/>
        <w:contextualSpacing w:val="0"/>
        <w:jc w:val="both"/>
        <w:rPr>
          <w:rFonts w:cstheme="minorHAnsi"/>
        </w:rPr>
      </w:pPr>
      <w:r w:rsidRPr="00C80BD3">
        <w:rPr>
          <w:rFonts w:cstheme="minorHAnsi"/>
        </w:rPr>
        <w:t>O</w:t>
      </w:r>
      <w:r w:rsidR="4BA0E91F" w:rsidRPr="00C80BD3">
        <w:rPr>
          <w:rFonts w:cstheme="minorHAnsi"/>
        </w:rPr>
        <w:t>k</w:t>
      </w:r>
      <w:r w:rsidRPr="00C80BD3">
        <w:rPr>
          <w:rFonts w:cstheme="minorHAnsi"/>
        </w:rPr>
        <w:t>relizumab</w:t>
      </w:r>
      <w:r w:rsidR="00586056" w:rsidRPr="00C80BD3">
        <w:rPr>
          <w:rFonts w:cstheme="minorHAnsi"/>
        </w:rPr>
        <w:t>-</w:t>
      </w:r>
      <w:r w:rsidR="00716064" w:rsidRPr="00C80BD3">
        <w:rPr>
          <w:rFonts w:cstheme="minorHAnsi"/>
        </w:rPr>
        <w:t>kezelés előtt megfontolandó a kezelés megkezdésének halasztása a COVID-19</w:t>
      </w:r>
      <w:r w:rsidR="009D1F48" w:rsidRPr="00C80BD3">
        <w:rPr>
          <w:rFonts w:cstheme="minorHAnsi"/>
        </w:rPr>
        <w:t xml:space="preserve"> </w:t>
      </w:r>
      <w:r w:rsidR="00716064" w:rsidRPr="00C80BD3">
        <w:rPr>
          <w:rFonts w:cstheme="minorHAnsi"/>
        </w:rPr>
        <w:t>vakcináció</w:t>
      </w:r>
      <w:r w:rsidR="00D434FA" w:rsidRPr="00C80BD3">
        <w:rPr>
          <w:rFonts w:cstheme="minorHAnsi"/>
        </w:rPr>
        <w:t xml:space="preserve"> </w:t>
      </w:r>
      <w:r w:rsidR="00716064" w:rsidRPr="00C80BD3">
        <w:rPr>
          <w:rFonts w:cstheme="minorHAnsi"/>
        </w:rPr>
        <w:t>elvégzéséig, amennyiben a védőoltás a beteg számára elérhető</w:t>
      </w:r>
      <w:r w:rsidR="10EF63A5" w:rsidRPr="00C80BD3">
        <w:rPr>
          <w:rFonts w:cstheme="minorHAnsi"/>
        </w:rPr>
        <w:t>,</w:t>
      </w:r>
      <w:r w:rsidR="00AD1309" w:rsidRPr="00C80BD3">
        <w:rPr>
          <w:rFonts w:cstheme="minorHAnsi"/>
        </w:rPr>
        <w:t xml:space="preserve"> és a kezelés megkezdésének a halasztása nem veszély</w:t>
      </w:r>
      <w:r w:rsidR="0411F57E" w:rsidRPr="00C80BD3">
        <w:rPr>
          <w:rFonts w:cstheme="minorHAnsi"/>
        </w:rPr>
        <w:t>ezteti a beteget</w:t>
      </w:r>
      <w:r w:rsidR="007840A3">
        <w:rPr>
          <w:rFonts w:cstheme="minorHAnsi"/>
        </w:rPr>
        <w:t>. A</w:t>
      </w:r>
      <w:r w:rsidR="00716064" w:rsidRPr="00C80BD3">
        <w:rPr>
          <w:rFonts w:cstheme="minorHAnsi"/>
        </w:rPr>
        <w:t>z</w:t>
      </w:r>
      <w:r w:rsidR="00D434FA" w:rsidRPr="00C80BD3">
        <w:rPr>
          <w:rFonts w:cstheme="minorHAnsi"/>
        </w:rPr>
        <w:t xml:space="preserve"> </w:t>
      </w:r>
      <w:r w:rsidR="6B9ADD89" w:rsidRPr="00C80BD3">
        <w:rPr>
          <w:rFonts w:cstheme="minorHAnsi"/>
        </w:rPr>
        <w:t>o</w:t>
      </w:r>
      <w:r w:rsidR="0948A845" w:rsidRPr="00C80BD3">
        <w:rPr>
          <w:rFonts w:cstheme="minorHAnsi"/>
        </w:rPr>
        <w:t>k</w:t>
      </w:r>
      <w:r w:rsidR="00716064" w:rsidRPr="00C80BD3">
        <w:rPr>
          <w:rFonts w:cstheme="minorHAnsi"/>
        </w:rPr>
        <w:t>relizumab-kezelés</w:t>
      </w:r>
      <w:r w:rsidR="00D434FA" w:rsidRPr="00C80BD3">
        <w:rPr>
          <w:rFonts w:cstheme="minorHAnsi"/>
        </w:rPr>
        <w:t xml:space="preserve"> </w:t>
      </w:r>
      <w:r w:rsidR="00716064" w:rsidRPr="00C80BD3">
        <w:rPr>
          <w:rFonts w:cstheme="minorHAnsi"/>
        </w:rPr>
        <w:t>indítás</w:t>
      </w:r>
      <w:r w:rsidR="00F632AF" w:rsidRPr="00C80BD3">
        <w:rPr>
          <w:rFonts w:cstheme="minorHAnsi"/>
        </w:rPr>
        <w:t xml:space="preserve">a </w:t>
      </w:r>
      <w:r w:rsidR="0F25EF32" w:rsidRPr="00C80BD3">
        <w:rPr>
          <w:rFonts w:cstheme="minorHAnsi"/>
        </w:rPr>
        <w:t xml:space="preserve">a </w:t>
      </w:r>
      <w:r w:rsidR="00F632AF" w:rsidRPr="00C80BD3">
        <w:rPr>
          <w:rFonts w:cstheme="minorHAnsi"/>
        </w:rPr>
        <w:t>vakcina</w:t>
      </w:r>
      <w:r w:rsidR="00716064" w:rsidRPr="00C80BD3">
        <w:rPr>
          <w:rFonts w:cstheme="minorHAnsi"/>
        </w:rPr>
        <w:t xml:space="preserve"> </w:t>
      </w:r>
      <w:r w:rsidR="00FE30E9" w:rsidRPr="00C80BD3">
        <w:rPr>
          <w:rFonts w:cstheme="minorHAnsi"/>
        </w:rPr>
        <w:t xml:space="preserve">(2. dózisának) </w:t>
      </w:r>
      <w:r w:rsidR="00716064" w:rsidRPr="00C80BD3">
        <w:rPr>
          <w:rFonts w:cstheme="minorHAnsi"/>
        </w:rPr>
        <w:t>beadása</w:t>
      </w:r>
      <w:r w:rsidR="00D434FA" w:rsidRPr="00C80BD3">
        <w:rPr>
          <w:rFonts w:cstheme="minorHAnsi"/>
        </w:rPr>
        <w:t xml:space="preserve"> </w:t>
      </w:r>
      <w:r w:rsidR="00716064" w:rsidRPr="00C80BD3">
        <w:rPr>
          <w:rFonts w:cstheme="minorHAnsi"/>
        </w:rPr>
        <w:t>után</w:t>
      </w:r>
      <w:r w:rsidR="00D434FA" w:rsidRPr="00C80BD3">
        <w:rPr>
          <w:rFonts w:cstheme="minorHAnsi"/>
        </w:rPr>
        <w:t xml:space="preserve"> </w:t>
      </w:r>
      <w:r w:rsidR="00497C6D" w:rsidRPr="00C80BD3">
        <w:rPr>
          <w:rFonts w:cstheme="minorHAnsi"/>
        </w:rPr>
        <w:sym w:font="Symbol" w:char="F0B3"/>
      </w:r>
      <w:r w:rsidR="009D1F48" w:rsidRPr="00C80BD3">
        <w:rPr>
          <w:rFonts w:cstheme="minorHAnsi"/>
        </w:rPr>
        <w:t>4</w:t>
      </w:r>
      <w:r w:rsidR="00716064" w:rsidRPr="00C80BD3">
        <w:rPr>
          <w:rFonts w:cstheme="minorHAnsi"/>
        </w:rPr>
        <w:t xml:space="preserve"> héttel</w:t>
      </w:r>
      <w:r w:rsidR="00D434FA" w:rsidRPr="00C80BD3">
        <w:rPr>
          <w:rFonts w:cstheme="minorHAnsi"/>
        </w:rPr>
        <w:t xml:space="preserve"> </w:t>
      </w:r>
      <w:r w:rsidR="00716064" w:rsidRPr="00C80BD3">
        <w:rPr>
          <w:rFonts w:cstheme="minorHAnsi"/>
        </w:rPr>
        <w:t>ajánlott</w:t>
      </w:r>
      <w:r w:rsidR="00F632AF" w:rsidRPr="00C80BD3">
        <w:rPr>
          <w:rFonts w:cstheme="minorHAnsi"/>
        </w:rPr>
        <w:t>; (rituximabra ugyanezek érvényesek)</w:t>
      </w:r>
      <w:r w:rsidR="007D04CF" w:rsidRPr="00C80BD3">
        <w:rPr>
          <w:rFonts w:cstheme="minorHAnsi"/>
        </w:rPr>
        <w:t>;</w:t>
      </w:r>
    </w:p>
    <w:p w14:paraId="21F96ACF" w14:textId="79EEACD0" w:rsidR="003D2920" w:rsidRPr="007B3FB4" w:rsidRDefault="00716064" w:rsidP="005828D7">
      <w:pPr>
        <w:pStyle w:val="Listaszerbekezds"/>
        <w:numPr>
          <w:ilvl w:val="0"/>
          <w:numId w:val="19"/>
        </w:numPr>
        <w:spacing w:line="240" w:lineRule="auto"/>
        <w:ind w:left="1134"/>
        <w:contextualSpacing w:val="0"/>
        <w:jc w:val="both"/>
        <w:rPr>
          <w:rFonts w:cstheme="minorHAnsi"/>
          <w:highlight w:val="yellow"/>
        </w:rPr>
      </w:pPr>
      <w:r w:rsidRPr="00BD151C">
        <w:rPr>
          <w:rFonts w:cstheme="minorHAnsi"/>
        </w:rPr>
        <w:t>O</w:t>
      </w:r>
      <w:r w:rsidR="1F1266EC" w:rsidRPr="00BD151C">
        <w:rPr>
          <w:rFonts w:cstheme="minorHAnsi"/>
        </w:rPr>
        <w:t>k</w:t>
      </w:r>
      <w:r w:rsidRPr="00BD151C">
        <w:rPr>
          <w:rFonts w:cstheme="minorHAnsi"/>
        </w:rPr>
        <w:t>relizumab</w:t>
      </w:r>
      <w:r w:rsidR="003D2920" w:rsidRPr="00BD151C">
        <w:rPr>
          <w:rFonts w:cstheme="minorHAnsi"/>
        </w:rPr>
        <w:t>-</w:t>
      </w:r>
      <w:r w:rsidRPr="00BD151C">
        <w:rPr>
          <w:rFonts w:cstheme="minorHAnsi"/>
        </w:rPr>
        <w:t>kezelés</w:t>
      </w:r>
      <w:r w:rsidR="00D434FA" w:rsidRPr="00BD151C">
        <w:rPr>
          <w:rFonts w:cstheme="minorHAnsi"/>
        </w:rPr>
        <w:t xml:space="preserve"> </w:t>
      </w:r>
      <w:r w:rsidRPr="00BD151C">
        <w:rPr>
          <w:rFonts w:cstheme="minorHAnsi"/>
        </w:rPr>
        <w:t>alatt</w:t>
      </w:r>
      <w:r w:rsidR="007840A3">
        <w:rPr>
          <w:rFonts w:cstheme="minorHAnsi"/>
        </w:rPr>
        <w:t xml:space="preserve"> álló betegben</w:t>
      </w:r>
      <w:r w:rsidR="407A788F" w:rsidRPr="00BD151C">
        <w:rPr>
          <w:rFonts w:cstheme="minorHAnsi"/>
        </w:rPr>
        <w:t xml:space="preserve"> a</w:t>
      </w:r>
      <w:r w:rsidRPr="00BD151C">
        <w:rPr>
          <w:rFonts w:cstheme="minorHAnsi"/>
        </w:rPr>
        <w:t xml:space="preserve"> védőoltás beadása</w:t>
      </w:r>
      <w:r w:rsidR="00D434FA" w:rsidRPr="00BD151C">
        <w:rPr>
          <w:rFonts w:cstheme="minorHAnsi"/>
        </w:rPr>
        <w:t xml:space="preserve"> </w:t>
      </w:r>
      <w:r w:rsidRPr="00BD151C">
        <w:rPr>
          <w:rFonts w:cstheme="minorHAnsi"/>
        </w:rPr>
        <w:t>az</w:t>
      </w:r>
      <w:r w:rsidR="00D434FA" w:rsidRPr="00BD151C">
        <w:rPr>
          <w:rFonts w:cstheme="minorHAnsi"/>
        </w:rPr>
        <w:t xml:space="preserve"> </w:t>
      </w:r>
      <w:r w:rsidRPr="00BD151C">
        <w:rPr>
          <w:rFonts w:cstheme="minorHAnsi"/>
        </w:rPr>
        <w:t>immunrendszer felépülésének fázisában</w:t>
      </w:r>
      <w:r w:rsidR="00D434FA" w:rsidRPr="00BD151C">
        <w:rPr>
          <w:rFonts w:cstheme="minorHAnsi"/>
        </w:rPr>
        <w:t xml:space="preserve"> </w:t>
      </w:r>
      <w:r w:rsidRPr="00BD151C">
        <w:rPr>
          <w:rFonts w:cstheme="minorHAnsi"/>
        </w:rPr>
        <w:t>javasolt,</w:t>
      </w:r>
      <w:r w:rsidR="00D434FA" w:rsidRPr="00BD151C">
        <w:rPr>
          <w:rFonts w:cstheme="minorHAnsi"/>
        </w:rPr>
        <w:t xml:space="preserve"> </w:t>
      </w:r>
      <w:r w:rsidRPr="00BD151C">
        <w:rPr>
          <w:rFonts w:cstheme="minorHAnsi"/>
        </w:rPr>
        <w:t>mely az infúzió</w:t>
      </w:r>
      <w:r w:rsidR="6912FF4C" w:rsidRPr="00BD151C">
        <w:rPr>
          <w:rFonts w:cstheme="minorHAnsi"/>
        </w:rPr>
        <w:t xml:space="preserve"> beadása után </w:t>
      </w:r>
      <w:r w:rsidR="0006430E" w:rsidRPr="00BD151C">
        <w:rPr>
          <w:rFonts w:cstheme="minorHAnsi"/>
        </w:rPr>
        <w:t>3</w:t>
      </w:r>
      <w:r w:rsidRPr="00BD151C">
        <w:rPr>
          <w:rFonts w:cstheme="minorHAnsi"/>
        </w:rPr>
        <w:t>-4 hóna</w:t>
      </w:r>
      <w:r w:rsidR="248BB5D9" w:rsidRPr="00BD151C">
        <w:rPr>
          <w:rFonts w:cstheme="minorHAnsi"/>
        </w:rPr>
        <w:t>p múlva várható.</w:t>
      </w:r>
      <w:r w:rsidR="007840A3">
        <w:rPr>
          <w:rFonts w:cstheme="minorHAnsi"/>
        </w:rPr>
        <w:t xml:space="preserve"> </w:t>
      </w:r>
      <w:r w:rsidR="007840A3" w:rsidRPr="00FE1BA6">
        <w:rPr>
          <w:rFonts w:cstheme="minorHAnsi"/>
          <w:highlight w:val="yellow"/>
        </w:rPr>
        <w:t xml:space="preserve">Több tanulmány azt találta, hogy az anti-CD20 terápiák esetében a </w:t>
      </w:r>
      <w:proofErr w:type="spellStart"/>
      <w:r w:rsidR="007840A3" w:rsidRPr="00FE1BA6">
        <w:rPr>
          <w:rFonts w:cstheme="minorHAnsi"/>
          <w:highlight w:val="yellow"/>
        </w:rPr>
        <w:t>poszt</w:t>
      </w:r>
      <w:r w:rsidR="003F13FE">
        <w:rPr>
          <w:rFonts w:cstheme="minorHAnsi"/>
          <w:highlight w:val="yellow"/>
        </w:rPr>
        <w:t>va</w:t>
      </w:r>
      <w:r w:rsidR="007840A3" w:rsidRPr="00FE1BA6">
        <w:rPr>
          <w:rFonts w:cstheme="minorHAnsi"/>
          <w:highlight w:val="yellow"/>
        </w:rPr>
        <w:t>kcinációs</w:t>
      </w:r>
      <w:proofErr w:type="spellEnd"/>
      <w:r w:rsidR="007840A3" w:rsidRPr="00FE1BA6">
        <w:rPr>
          <w:rFonts w:cstheme="minorHAnsi"/>
          <w:highlight w:val="yellow"/>
        </w:rPr>
        <w:t xml:space="preserve"> </w:t>
      </w:r>
      <w:r w:rsidR="007840A3" w:rsidRPr="007B3FB4">
        <w:rPr>
          <w:rFonts w:cstheme="minorHAnsi"/>
          <w:highlight w:val="yellow"/>
        </w:rPr>
        <w:lastRenderedPageBreak/>
        <w:t xml:space="preserve">ellenanyagszintek </w:t>
      </w:r>
      <w:r w:rsidR="0035502C">
        <w:rPr>
          <w:rFonts w:cstheme="minorHAnsi"/>
          <w:highlight w:val="yellow"/>
        </w:rPr>
        <w:t>összefüggést</w:t>
      </w:r>
      <w:r w:rsidR="007840A3" w:rsidRPr="007B3FB4">
        <w:rPr>
          <w:rFonts w:cstheme="minorHAnsi"/>
          <w:highlight w:val="yellow"/>
        </w:rPr>
        <w:t xml:space="preserve"> mutattak az utolsó infúzió beadása óta eltelt idővel</w:t>
      </w:r>
      <w:r w:rsidR="00061A37" w:rsidRPr="007B3FB4">
        <w:rPr>
          <w:rFonts w:cstheme="minorHAnsi"/>
          <w:highlight w:val="yellow"/>
        </w:rPr>
        <w:t xml:space="preserve">, </w:t>
      </w:r>
      <w:r w:rsidR="007B3FB4" w:rsidRPr="007B3FB4">
        <w:rPr>
          <w:rFonts w:cstheme="minorHAnsi"/>
          <w:highlight w:val="yellow"/>
        </w:rPr>
        <w:t>és még szorosabban a B sejtek rekonstrukciójával (keringő CD19+ B sejtek</w:t>
      </w:r>
      <w:r w:rsidR="00AC21E1">
        <w:rPr>
          <w:rFonts w:cstheme="minorHAnsi"/>
          <w:highlight w:val="yellow"/>
        </w:rPr>
        <w:t xml:space="preserve"> számával)</w:t>
      </w:r>
      <w:r w:rsidR="007B3FB4" w:rsidRPr="007B3FB4">
        <w:rPr>
          <w:rFonts w:cstheme="minorHAnsi"/>
          <w:highlight w:val="yellow"/>
        </w:rPr>
        <w:t>.</w:t>
      </w:r>
    </w:p>
    <w:p w14:paraId="08052B64" w14:textId="458456F8" w:rsidR="00716064" w:rsidRPr="00C80BD3" w:rsidRDefault="00716064" w:rsidP="005828D7">
      <w:pPr>
        <w:pStyle w:val="Listaszerbekezds"/>
        <w:numPr>
          <w:ilvl w:val="0"/>
          <w:numId w:val="19"/>
        </w:numPr>
        <w:spacing w:line="240" w:lineRule="auto"/>
        <w:ind w:left="1134"/>
        <w:contextualSpacing w:val="0"/>
        <w:jc w:val="both"/>
        <w:rPr>
          <w:rFonts w:cstheme="minorHAnsi"/>
        </w:rPr>
      </w:pPr>
      <w:r w:rsidRPr="00BD151C">
        <w:rPr>
          <w:rFonts w:cstheme="minorHAnsi"/>
        </w:rPr>
        <w:t>Amennyiben</w:t>
      </w:r>
      <w:r w:rsidR="00D434FA" w:rsidRPr="00BD151C">
        <w:rPr>
          <w:rFonts w:cstheme="minorHAnsi"/>
        </w:rPr>
        <w:t xml:space="preserve"> </w:t>
      </w:r>
      <w:r w:rsidR="0006430E" w:rsidRPr="00BD151C">
        <w:rPr>
          <w:rFonts w:cstheme="minorHAnsi"/>
        </w:rPr>
        <w:t>o</w:t>
      </w:r>
      <w:r w:rsidR="5B268293" w:rsidRPr="00BD151C">
        <w:rPr>
          <w:rFonts w:cstheme="minorHAnsi"/>
        </w:rPr>
        <w:t>k</w:t>
      </w:r>
      <w:r w:rsidRPr="00BD151C">
        <w:rPr>
          <w:rFonts w:cstheme="minorHAnsi"/>
        </w:rPr>
        <w:t>relizumab</w:t>
      </w:r>
      <w:r w:rsidR="003D2920" w:rsidRPr="00BD151C">
        <w:rPr>
          <w:rFonts w:cstheme="minorHAnsi"/>
        </w:rPr>
        <w:t>-</w:t>
      </w:r>
      <w:r w:rsidRPr="00BD151C">
        <w:rPr>
          <w:rFonts w:cstheme="minorHAnsi"/>
        </w:rPr>
        <w:t xml:space="preserve">kezelés alatt </w:t>
      </w:r>
      <w:r w:rsidR="00586056" w:rsidRPr="00BD151C">
        <w:rPr>
          <w:rFonts w:cstheme="minorHAnsi"/>
        </w:rPr>
        <w:t xml:space="preserve">álló beteg számára </w:t>
      </w:r>
      <w:r w:rsidR="19196018" w:rsidRPr="00BD151C">
        <w:rPr>
          <w:rFonts w:cstheme="minorHAnsi"/>
        </w:rPr>
        <w:t xml:space="preserve">a </w:t>
      </w:r>
      <w:r w:rsidRPr="00BD151C">
        <w:rPr>
          <w:rFonts w:cstheme="minorHAnsi"/>
        </w:rPr>
        <w:t>védőoltás elérhető</w:t>
      </w:r>
      <w:r w:rsidR="5F945450" w:rsidRPr="00BD151C">
        <w:rPr>
          <w:rFonts w:cstheme="minorHAnsi"/>
        </w:rPr>
        <w:t>,</w:t>
      </w:r>
      <w:r w:rsidR="00D434FA" w:rsidRPr="00BD151C">
        <w:rPr>
          <w:rFonts w:cstheme="minorHAnsi"/>
        </w:rPr>
        <w:t xml:space="preserve"> </w:t>
      </w:r>
      <w:r w:rsidRPr="00BD151C">
        <w:rPr>
          <w:rFonts w:cstheme="minorHAnsi"/>
        </w:rPr>
        <w:t>és a</w:t>
      </w:r>
      <w:r w:rsidR="00D434FA" w:rsidRPr="00BD151C">
        <w:rPr>
          <w:rFonts w:cstheme="minorHAnsi"/>
        </w:rPr>
        <w:t xml:space="preserve"> </w:t>
      </w:r>
      <w:r w:rsidRPr="00BD151C">
        <w:rPr>
          <w:rFonts w:cstheme="minorHAnsi"/>
        </w:rPr>
        <w:t xml:space="preserve">következő </w:t>
      </w:r>
      <w:r w:rsidR="33110745" w:rsidRPr="00BD151C">
        <w:rPr>
          <w:rFonts w:cstheme="minorHAnsi"/>
        </w:rPr>
        <w:t>kezelés</w:t>
      </w:r>
      <w:r w:rsidR="00FE30E9" w:rsidRPr="00BD151C">
        <w:rPr>
          <w:rFonts w:cstheme="minorHAnsi"/>
        </w:rPr>
        <w:t>i</w:t>
      </w:r>
      <w:r w:rsidR="31898166" w:rsidRPr="00BD151C">
        <w:rPr>
          <w:rFonts w:cstheme="minorHAnsi"/>
        </w:rPr>
        <w:t xml:space="preserve"> </w:t>
      </w:r>
      <w:r w:rsidRPr="00BD151C">
        <w:rPr>
          <w:rFonts w:cstheme="minorHAnsi"/>
        </w:rPr>
        <w:t>ciklus esedékes,</w:t>
      </w:r>
      <w:r w:rsidR="00D434FA" w:rsidRPr="00BD151C">
        <w:rPr>
          <w:rFonts w:cstheme="minorHAnsi"/>
        </w:rPr>
        <w:t xml:space="preserve"> </w:t>
      </w:r>
      <w:r w:rsidRPr="00BD151C">
        <w:rPr>
          <w:rFonts w:cstheme="minorHAnsi"/>
        </w:rPr>
        <w:t>a</w:t>
      </w:r>
      <w:r w:rsidR="3AAB83F3" w:rsidRPr="00BD151C">
        <w:rPr>
          <w:rFonts w:cstheme="minorHAnsi"/>
        </w:rPr>
        <w:t>z o</w:t>
      </w:r>
      <w:r w:rsidR="6A0E0598" w:rsidRPr="00BD151C">
        <w:rPr>
          <w:rFonts w:cstheme="minorHAnsi"/>
        </w:rPr>
        <w:t>kre</w:t>
      </w:r>
      <w:r w:rsidR="3AAB83F3" w:rsidRPr="00BD151C">
        <w:rPr>
          <w:rFonts w:cstheme="minorHAnsi"/>
        </w:rPr>
        <w:t>lizumab</w:t>
      </w:r>
      <w:r w:rsidR="12EDF493" w:rsidRPr="00BD151C">
        <w:rPr>
          <w:rFonts w:cstheme="minorHAnsi"/>
        </w:rPr>
        <w:t xml:space="preserve"> </w:t>
      </w:r>
      <w:r w:rsidR="0A19A448" w:rsidRPr="00BD151C">
        <w:rPr>
          <w:rFonts w:cstheme="minorHAnsi"/>
        </w:rPr>
        <w:t>adása</w:t>
      </w:r>
      <w:r w:rsidRPr="00BD151C">
        <w:rPr>
          <w:rFonts w:cstheme="minorHAnsi"/>
        </w:rPr>
        <w:t xml:space="preserve"> halasztható</w:t>
      </w:r>
      <w:r w:rsidR="00FE30E9" w:rsidRPr="00BD151C">
        <w:rPr>
          <w:rFonts w:cstheme="minorHAnsi"/>
        </w:rPr>
        <w:t xml:space="preserve"> a vakcinálás miatt</w:t>
      </w:r>
      <w:r w:rsidRPr="00BD151C">
        <w:rPr>
          <w:rFonts w:cstheme="minorHAnsi"/>
        </w:rPr>
        <w:t xml:space="preserve"> </w:t>
      </w:r>
      <w:r w:rsidRPr="00C80BD3">
        <w:rPr>
          <w:rFonts w:cstheme="minorHAnsi"/>
        </w:rPr>
        <w:t>(két oltásból álló vakcina esetében a</w:t>
      </w:r>
      <w:r w:rsidR="00D434FA" w:rsidRPr="00C80BD3">
        <w:rPr>
          <w:rFonts w:cstheme="minorHAnsi"/>
        </w:rPr>
        <w:t xml:space="preserve"> </w:t>
      </w:r>
      <w:r w:rsidRPr="00C80BD3">
        <w:rPr>
          <w:rFonts w:cstheme="minorHAnsi"/>
        </w:rPr>
        <w:t>vakcinációhoz</w:t>
      </w:r>
      <w:r w:rsidR="00586056" w:rsidRPr="00C80BD3">
        <w:rPr>
          <w:rFonts w:cstheme="minorHAnsi"/>
        </w:rPr>
        <w:t xml:space="preserve"> </w:t>
      </w:r>
      <w:r w:rsidRPr="00C80BD3">
        <w:rPr>
          <w:rFonts w:cstheme="minorHAnsi"/>
        </w:rPr>
        <w:t>szükséges idő és utána</w:t>
      </w:r>
      <w:r w:rsidR="00D434FA" w:rsidRPr="00C80BD3">
        <w:rPr>
          <w:rFonts w:cstheme="minorHAnsi"/>
        </w:rPr>
        <w:t xml:space="preserve"> </w:t>
      </w:r>
      <w:r w:rsidR="00497C6D" w:rsidRPr="00C80BD3">
        <w:rPr>
          <w:rFonts w:cstheme="minorHAnsi"/>
        </w:rPr>
        <w:sym w:font="Symbol" w:char="F0B3"/>
      </w:r>
      <w:r w:rsidR="001A31F9" w:rsidRPr="00C80BD3">
        <w:rPr>
          <w:rFonts w:cstheme="minorHAnsi"/>
        </w:rPr>
        <w:t>4</w:t>
      </w:r>
      <w:r w:rsidRPr="00C80BD3">
        <w:rPr>
          <w:rFonts w:cstheme="minorHAnsi"/>
        </w:rPr>
        <w:t xml:space="preserve"> hét várakozási idő).</w:t>
      </w:r>
    </w:p>
    <w:p w14:paraId="7A28BB0D" w14:textId="4553EB43" w:rsidR="00586056" w:rsidRPr="00BD151C" w:rsidRDefault="00C10E16" w:rsidP="005828D7">
      <w:pPr>
        <w:pStyle w:val="Listaszerbekezds"/>
        <w:numPr>
          <w:ilvl w:val="0"/>
          <w:numId w:val="19"/>
        </w:numPr>
        <w:spacing w:line="240" w:lineRule="auto"/>
        <w:contextualSpacing w:val="0"/>
        <w:jc w:val="both"/>
        <w:rPr>
          <w:rFonts w:cstheme="minorHAnsi"/>
        </w:rPr>
      </w:pPr>
      <w:r w:rsidRPr="00BD151C">
        <w:rPr>
          <w:rFonts w:cstheme="minorHAnsi"/>
          <w:b/>
          <w:bCs/>
        </w:rPr>
        <w:t>Alemtuzumab-</w:t>
      </w:r>
      <w:r w:rsidRPr="00BD151C">
        <w:rPr>
          <w:rFonts w:cstheme="minorHAnsi"/>
        </w:rPr>
        <w:t>kezelés</w:t>
      </w:r>
      <w:r w:rsidR="00586056" w:rsidRPr="00BD151C">
        <w:rPr>
          <w:rFonts w:cstheme="minorHAnsi"/>
        </w:rPr>
        <w:t>:</w:t>
      </w:r>
    </w:p>
    <w:p w14:paraId="220B1A1B" w14:textId="302D7CA0" w:rsidR="00586056" w:rsidRPr="00C80BD3" w:rsidRDefault="00586056" w:rsidP="005828D7">
      <w:pPr>
        <w:pStyle w:val="Listaszerbekezds"/>
        <w:numPr>
          <w:ilvl w:val="0"/>
          <w:numId w:val="19"/>
        </w:numPr>
        <w:spacing w:line="240" w:lineRule="auto"/>
        <w:ind w:left="1134"/>
        <w:contextualSpacing w:val="0"/>
        <w:jc w:val="both"/>
        <w:rPr>
          <w:rFonts w:cstheme="minorHAnsi"/>
        </w:rPr>
      </w:pPr>
      <w:r w:rsidRPr="00BD151C">
        <w:rPr>
          <w:rFonts w:cstheme="minorHAnsi"/>
        </w:rPr>
        <w:t>Alemtu</w:t>
      </w:r>
      <w:r w:rsidR="00FE30E9" w:rsidRPr="00BD151C">
        <w:rPr>
          <w:rFonts w:cstheme="minorHAnsi"/>
        </w:rPr>
        <w:t>z</w:t>
      </w:r>
      <w:r w:rsidRPr="00BD151C">
        <w:rPr>
          <w:rFonts w:cstheme="minorHAnsi"/>
        </w:rPr>
        <w:t xml:space="preserve">umab-kezelés megkezdése előtt álló betegben </w:t>
      </w:r>
      <w:r w:rsidR="00C10E16" w:rsidRPr="00BD151C">
        <w:rPr>
          <w:rFonts w:cstheme="minorHAnsi"/>
        </w:rPr>
        <w:t>megfontolandó a kezelés megkezdésének halasztása a COVID-19</w:t>
      </w:r>
      <w:r w:rsidR="00D434FA" w:rsidRPr="00BD151C">
        <w:rPr>
          <w:rFonts w:cstheme="minorHAnsi"/>
        </w:rPr>
        <w:t xml:space="preserve"> </w:t>
      </w:r>
      <w:r w:rsidR="00C10E16" w:rsidRPr="00BD151C">
        <w:rPr>
          <w:rFonts w:cstheme="minorHAnsi"/>
        </w:rPr>
        <w:t>vakcináció</w:t>
      </w:r>
      <w:r w:rsidR="00D434FA" w:rsidRPr="00BD151C">
        <w:rPr>
          <w:rFonts w:cstheme="minorHAnsi"/>
        </w:rPr>
        <w:t xml:space="preserve"> </w:t>
      </w:r>
      <w:r w:rsidR="00C10E16" w:rsidRPr="00BD151C">
        <w:rPr>
          <w:rFonts w:cstheme="minorHAnsi"/>
        </w:rPr>
        <w:t xml:space="preserve">elvégzéséig, amennyiben a védőoltás a </w:t>
      </w:r>
      <w:r w:rsidR="00C10E16" w:rsidRPr="00C80BD3">
        <w:rPr>
          <w:rFonts w:cstheme="minorHAnsi"/>
        </w:rPr>
        <w:t>beteg számára elérhető</w:t>
      </w:r>
      <w:r w:rsidR="00FE30E9" w:rsidRPr="00C80BD3">
        <w:rPr>
          <w:rFonts w:cstheme="minorHAnsi"/>
        </w:rPr>
        <w:t>,</w:t>
      </w:r>
      <w:r w:rsidR="008A52C3" w:rsidRPr="00C80BD3">
        <w:rPr>
          <w:rFonts w:cstheme="minorHAnsi"/>
        </w:rPr>
        <w:t xml:space="preserve"> és a kezelés megkezdésének halasztása nem veszélyezteti a beteget</w:t>
      </w:r>
      <w:r w:rsidR="00C10E16" w:rsidRPr="00C80BD3">
        <w:rPr>
          <w:rFonts w:cstheme="minorHAnsi"/>
        </w:rPr>
        <w:t>.</w:t>
      </w:r>
      <w:r w:rsidR="003277CB" w:rsidRPr="00C80BD3">
        <w:rPr>
          <w:rFonts w:cstheme="minorHAnsi"/>
        </w:rPr>
        <w:t xml:space="preserve"> A kezelés</w:t>
      </w:r>
      <w:r w:rsidR="0060647C" w:rsidRPr="00C80BD3">
        <w:rPr>
          <w:rFonts w:cstheme="minorHAnsi"/>
        </w:rPr>
        <w:t xml:space="preserve"> alkalmazása a </w:t>
      </w:r>
      <w:r w:rsidR="00515BB8" w:rsidRPr="00C80BD3">
        <w:rPr>
          <w:rFonts w:cstheme="minorHAnsi"/>
        </w:rPr>
        <w:t xml:space="preserve">teljes </w:t>
      </w:r>
      <w:r w:rsidR="0060647C" w:rsidRPr="00C80BD3">
        <w:rPr>
          <w:rFonts w:cstheme="minorHAnsi"/>
        </w:rPr>
        <w:t xml:space="preserve">vakcináció után </w:t>
      </w:r>
      <w:r w:rsidR="00515BB8" w:rsidRPr="00C80BD3">
        <w:rPr>
          <w:rFonts w:cstheme="minorHAnsi"/>
        </w:rPr>
        <w:sym w:font="Symbol" w:char="F0B3"/>
      </w:r>
      <w:r w:rsidR="003277CB" w:rsidRPr="00C80BD3">
        <w:rPr>
          <w:rFonts w:cstheme="minorHAnsi"/>
        </w:rPr>
        <w:t xml:space="preserve">4 héttel </w:t>
      </w:r>
      <w:r w:rsidR="0060647C" w:rsidRPr="00C80BD3">
        <w:rPr>
          <w:rFonts w:cstheme="minorHAnsi"/>
        </w:rPr>
        <w:t>javasolt</w:t>
      </w:r>
      <w:r w:rsidR="00253221" w:rsidRPr="00C80BD3">
        <w:rPr>
          <w:rFonts w:cstheme="minorHAnsi"/>
        </w:rPr>
        <w:t>.</w:t>
      </w:r>
    </w:p>
    <w:p w14:paraId="2CF755F8" w14:textId="28C65097" w:rsidR="00C10E16" w:rsidRPr="00C80BD3" w:rsidRDefault="00C10E16" w:rsidP="005828D7">
      <w:pPr>
        <w:pStyle w:val="Listaszerbekezds"/>
        <w:numPr>
          <w:ilvl w:val="0"/>
          <w:numId w:val="19"/>
        </w:numPr>
        <w:spacing w:line="240" w:lineRule="auto"/>
        <w:ind w:left="1134"/>
        <w:contextualSpacing w:val="0"/>
        <w:jc w:val="both"/>
        <w:rPr>
          <w:rFonts w:cstheme="minorHAnsi"/>
        </w:rPr>
      </w:pPr>
      <w:r w:rsidRPr="00C80BD3">
        <w:rPr>
          <w:rFonts w:cstheme="minorHAnsi"/>
        </w:rPr>
        <w:t>Amennyiben</w:t>
      </w:r>
      <w:r w:rsidR="00D434FA" w:rsidRPr="00C80BD3">
        <w:rPr>
          <w:rFonts w:cstheme="minorHAnsi"/>
        </w:rPr>
        <w:t xml:space="preserve"> </w:t>
      </w:r>
      <w:r w:rsidRPr="00C80BD3">
        <w:rPr>
          <w:rFonts w:cstheme="minorHAnsi"/>
        </w:rPr>
        <w:t xml:space="preserve">alemtuzumab-kezelés alatt álló beteg következő </w:t>
      </w:r>
      <w:r w:rsidR="5DA8D5AA" w:rsidRPr="00C80BD3">
        <w:rPr>
          <w:rFonts w:cstheme="minorHAnsi"/>
        </w:rPr>
        <w:t>kezelés</w:t>
      </w:r>
      <w:r w:rsidR="00586056" w:rsidRPr="00C80BD3">
        <w:rPr>
          <w:rFonts w:cstheme="minorHAnsi"/>
        </w:rPr>
        <w:t>i</w:t>
      </w:r>
      <w:r w:rsidR="714D9D2A" w:rsidRPr="00C80BD3">
        <w:rPr>
          <w:rFonts w:cstheme="minorHAnsi"/>
        </w:rPr>
        <w:t xml:space="preserve"> </w:t>
      </w:r>
      <w:r w:rsidRPr="00C80BD3">
        <w:rPr>
          <w:rFonts w:cstheme="minorHAnsi"/>
        </w:rPr>
        <w:t>ciklus</w:t>
      </w:r>
      <w:r w:rsidR="12573F76" w:rsidRPr="00C80BD3">
        <w:rPr>
          <w:rFonts w:cstheme="minorHAnsi"/>
        </w:rPr>
        <w:t>a</w:t>
      </w:r>
      <w:r w:rsidRPr="00C80BD3">
        <w:rPr>
          <w:rFonts w:cstheme="minorHAnsi"/>
        </w:rPr>
        <w:t xml:space="preserve"> esedékes</w:t>
      </w:r>
      <w:r w:rsidR="7C506CAB" w:rsidRPr="00C80BD3">
        <w:rPr>
          <w:rFonts w:cstheme="minorHAnsi"/>
        </w:rPr>
        <w:t>,</w:t>
      </w:r>
      <w:r w:rsidRPr="00C80BD3">
        <w:rPr>
          <w:rFonts w:cstheme="minorHAnsi"/>
        </w:rPr>
        <w:t xml:space="preserve"> és a vakcina a beteg számára rendelkezésre áll, az újabb ciklus megkezdése halasztható 2 hónappal</w:t>
      </w:r>
      <w:r w:rsidR="00FE30E9" w:rsidRPr="00C80BD3">
        <w:rPr>
          <w:rFonts w:cstheme="minorHAnsi"/>
        </w:rPr>
        <w:t xml:space="preserve"> a vakcinálás </w:t>
      </w:r>
      <w:r w:rsidR="00DD332F" w:rsidRPr="00C80BD3">
        <w:rPr>
          <w:rFonts w:cstheme="minorHAnsi"/>
        </w:rPr>
        <w:t>érdekében</w:t>
      </w:r>
      <w:r w:rsidR="0060647C" w:rsidRPr="00C80BD3">
        <w:rPr>
          <w:rFonts w:cstheme="minorHAnsi"/>
        </w:rPr>
        <w:t xml:space="preserve">. </w:t>
      </w:r>
    </w:p>
    <w:p w14:paraId="30C61066" w14:textId="6D0B4508" w:rsidR="00586056" w:rsidRPr="000C381E" w:rsidRDefault="00586056" w:rsidP="005828D7">
      <w:pPr>
        <w:pStyle w:val="Listaszerbekezds"/>
        <w:numPr>
          <w:ilvl w:val="0"/>
          <w:numId w:val="19"/>
        </w:numPr>
        <w:spacing w:line="240" w:lineRule="auto"/>
        <w:ind w:left="1134"/>
        <w:contextualSpacing w:val="0"/>
        <w:jc w:val="both"/>
        <w:rPr>
          <w:rFonts w:cstheme="minorHAnsi"/>
          <w:highlight w:val="yellow"/>
        </w:rPr>
      </w:pPr>
      <w:r w:rsidRPr="00C80BD3">
        <w:rPr>
          <w:rFonts w:cstheme="minorHAnsi"/>
        </w:rPr>
        <w:t>Alemtuzumab-kezelés alatt álló beteg esetében a védőoltás beadása az immunrendszer felépülésé</w:t>
      </w:r>
      <w:r w:rsidR="00A23A7A" w:rsidRPr="00C80BD3">
        <w:rPr>
          <w:rFonts w:cstheme="minorHAnsi"/>
        </w:rPr>
        <w:t>t követően</w:t>
      </w:r>
      <w:r w:rsidRPr="00C80BD3">
        <w:rPr>
          <w:rFonts w:cstheme="minorHAnsi"/>
        </w:rPr>
        <w:t xml:space="preserve"> javasolt, mely az alemtuzumab esetében a kezelést követő 6. hónap utáni időszakot jelenti. </w:t>
      </w:r>
      <w:r w:rsidR="000C381E" w:rsidRPr="000C381E">
        <w:rPr>
          <w:rFonts w:cstheme="minorHAnsi"/>
          <w:highlight w:val="yellow"/>
        </w:rPr>
        <w:t>A</w:t>
      </w:r>
      <w:r w:rsidR="000C381E">
        <w:rPr>
          <w:rFonts w:cstheme="minorHAnsi"/>
          <w:highlight w:val="yellow"/>
        </w:rPr>
        <w:t xml:space="preserve">z ezidáig közölt kevés betegszámot magába foglaló közlemények arról számolnak be, hogy sem az utolsó adag gyógyszer beadásától eltelt idő, sem az abszolút limfocitaszám nem befolyásolta a szeroprotektív humorális immunválasz kialakulását. </w:t>
      </w:r>
    </w:p>
    <w:p w14:paraId="795B9628" w14:textId="377FFBD4" w:rsidR="001A31F9" w:rsidRPr="00C80BD3" w:rsidRDefault="001A31F9" w:rsidP="005828D7">
      <w:pPr>
        <w:pStyle w:val="Listaszerbekezds"/>
        <w:numPr>
          <w:ilvl w:val="0"/>
          <w:numId w:val="26"/>
        </w:numPr>
        <w:spacing w:line="240" w:lineRule="auto"/>
        <w:ind w:left="709" w:hanging="349"/>
        <w:contextualSpacing w:val="0"/>
        <w:jc w:val="both"/>
        <w:rPr>
          <w:rFonts w:cstheme="minorHAnsi"/>
          <w:b/>
          <w:bCs/>
        </w:rPr>
      </w:pPr>
      <w:r w:rsidRPr="00C80BD3">
        <w:rPr>
          <w:rFonts w:cstheme="minorHAnsi"/>
          <w:b/>
          <w:bCs/>
        </w:rPr>
        <w:t>Nagy dózisú szteroid-kezelés:</w:t>
      </w:r>
    </w:p>
    <w:p w14:paraId="43ECD892" w14:textId="717B7CB5" w:rsidR="001A31F9" w:rsidRPr="00C80BD3" w:rsidRDefault="001A31F9" w:rsidP="005828D7">
      <w:pPr>
        <w:pStyle w:val="Listaszerbekezds"/>
        <w:numPr>
          <w:ilvl w:val="0"/>
          <w:numId w:val="27"/>
        </w:numPr>
        <w:spacing w:line="240" w:lineRule="auto"/>
        <w:ind w:left="1134" w:hanging="426"/>
        <w:contextualSpacing w:val="0"/>
        <w:jc w:val="both"/>
        <w:rPr>
          <w:rFonts w:cstheme="minorHAnsi"/>
        </w:rPr>
      </w:pPr>
      <w:r w:rsidRPr="00C80BD3">
        <w:rPr>
          <w:rFonts w:cstheme="minorHAnsi"/>
        </w:rPr>
        <w:t xml:space="preserve">A vakcináció a szteroid utolsó </w:t>
      </w:r>
      <w:r w:rsidR="00A7289A" w:rsidRPr="00C80BD3">
        <w:rPr>
          <w:rFonts w:cstheme="minorHAnsi"/>
        </w:rPr>
        <w:t xml:space="preserve">dózisát követően minimum </w:t>
      </w:r>
      <w:r w:rsidRPr="00C80BD3">
        <w:rPr>
          <w:rFonts w:cstheme="minorHAnsi"/>
        </w:rPr>
        <w:t>3-5 nappal</w:t>
      </w:r>
      <w:r w:rsidR="00D47C9D" w:rsidRPr="00C80BD3">
        <w:rPr>
          <w:rFonts w:cstheme="minorHAnsi"/>
        </w:rPr>
        <w:t xml:space="preserve"> </w:t>
      </w:r>
      <w:r w:rsidRPr="00C80BD3">
        <w:rPr>
          <w:rFonts w:cstheme="minorHAnsi"/>
        </w:rPr>
        <w:t>kezdhető</w:t>
      </w:r>
      <w:r w:rsidR="00A7289A" w:rsidRPr="00C80BD3">
        <w:rPr>
          <w:rFonts w:cstheme="minorHAnsi"/>
        </w:rPr>
        <w:t xml:space="preserve">, lehetőség szerint </w:t>
      </w:r>
      <w:r w:rsidR="00C872E1" w:rsidRPr="00C80BD3">
        <w:rPr>
          <w:rFonts w:cstheme="minorHAnsi"/>
        </w:rPr>
        <w:t>2</w:t>
      </w:r>
      <w:r w:rsidR="00A7289A" w:rsidRPr="00C80BD3">
        <w:rPr>
          <w:rFonts w:cstheme="minorHAnsi"/>
        </w:rPr>
        <w:t xml:space="preserve"> hét után történjen</w:t>
      </w:r>
      <w:r w:rsidRPr="00C80BD3">
        <w:rPr>
          <w:rFonts w:cstheme="minorHAnsi"/>
        </w:rPr>
        <w:t>.</w:t>
      </w:r>
    </w:p>
    <w:p w14:paraId="3832316E" w14:textId="77777777" w:rsidR="00C07614" w:rsidRPr="00BD151C" w:rsidRDefault="00C07614" w:rsidP="005828D7">
      <w:pPr>
        <w:spacing w:line="240" w:lineRule="auto"/>
        <w:jc w:val="both"/>
        <w:rPr>
          <w:rFonts w:cstheme="minorHAnsi"/>
        </w:rPr>
      </w:pPr>
    </w:p>
    <w:p w14:paraId="7163180A" w14:textId="177D12FA" w:rsidR="00801899" w:rsidRPr="00BD151C" w:rsidRDefault="00801899" w:rsidP="005828D7">
      <w:pPr>
        <w:spacing w:line="240" w:lineRule="auto"/>
        <w:jc w:val="both"/>
        <w:rPr>
          <w:rFonts w:cstheme="minorHAnsi"/>
          <w:b/>
          <w:bCs/>
        </w:rPr>
      </w:pPr>
      <w:r w:rsidRPr="00BD151C">
        <w:rPr>
          <w:rFonts w:cstheme="minorHAnsi"/>
          <w:b/>
          <w:bCs/>
        </w:rPr>
        <w:t>Neuromyelitis Optica Spektrum Betegség (NMOSD)</w:t>
      </w:r>
      <w:r w:rsidR="373EC5E2" w:rsidRPr="00BD151C">
        <w:rPr>
          <w:rFonts w:cstheme="minorHAnsi"/>
          <w:b/>
          <w:bCs/>
        </w:rPr>
        <w:t>, anti-MOG spektrum betegség</w:t>
      </w:r>
      <w:r w:rsidR="00FE30E9" w:rsidRPr="00BD151C">
        <w:rPr>
          <w:rFonts w:cstheme="minorHAnsi"/>
          <w:b/>
          <w:bCs/>
        </w:rPr>
        <w:t xml:space="preserve"> (MOGAD)</w:t>
      </w:r>
    </w:p>
    <w:p w14:paraId="779637F2" w14:textId="31633BCD" w:rsidR="00801899" w:rsidRPr="00BD151C" w:rsidRDefault="373EC5E2" w:rsidP="005828D7">
      <w:pPr>
        <w:spacing w:line="240" w:lineRule="auto"/>
        <w:jc w:val="both"/>
        <w:rPr>
          <w:rFonts w:cstheme="minorHAnsi"/>
        </w:rPr>
      </w:pPr>
      <w:r w:rsidRPr="00BD151C">
        <w:rPr>
          <w:rFonts w:cstheme="minorHAnsi"/>
        </w:rPr>
        <w:t>A SARS-CoV-2 elleni védőoltásokat e</w:t>
      </w:r>
      <w:r w:rsidR="00C56156" w:rsidRPr="00BD151C">
        <w:rPr>
          <w:rFonts w:cstheme="minorHAnsi"/>
        </w:rPr>
        <w:t>zekben</w:t>
      </w:r>
      <w:r w:rsidRPr="00BD151C">
        <w:rPr>
          <w:rFonts w:cstheme="minorHAnsi"/>
        </w:rPr>
        <w:t xml:space="preserve"> a betegség</w:t>
      </w:r>
      <w:r w:rsidR="00FE30E9" w:rsidRPr="00BD151C">
        <w:rPr>
          <w:rFonts w:cstheme="minorHAnsi"/>
        </w:rPr>
        <w:t>ek</w:t>
      </w:r>
      <w:r w:rsidRPr="00BD151C">
        <w:rPr>
          <w:rFonts w:cstheme="minorHAnsi"/>
        </w:rPr>
        <w:t xml:space="preserve">ben sem alkalmazták még, a klinikai vizsgálatokban </w:t>
      </w:r>
      <w:r w:rsidR="3B135D5A" w:rsidRPr="00BD151C">
        <w:rPr>
          <w:rFonts w:cstheme="minorHAnsi"/>
        </w:rPr>
        <w:t xml:space="preserve">NMOSD-ben szenvedő betegek </w:t>
      </w:r>
      <w:r w:rsidRPr="00BD151C">
        <w:rPr>
          <w:rFonts w:cstheme="minorHAnsi"/>
        </w:rPr>
        <w:t xml:space="preserve">nem vettek részt. </w:t>
      </w:r>
    </w:p>
    <w:p w14:paraId="66565A37" w14:textId="5844AA73" w:rsidR="373EC5E2" w:rsidRPr="00BD151C" w:rsidRDefault="373EC5E2" w:rsidP="005828D7">
      <w:pPr>
        <w:spacing w:line="240" w:lineRule="auto"/>
        <w:jc w:val="both"/>
        <w:rPr>
          <w:rFonts w:cstheme="minorHAnsi"/>
        </w:rPr>
      </w:pPr>
      <w:r w:rsidRPr="00BD151C">
        <w:rPr>
          <w:rFonts w:cstheme="minorHAnsi"/>
        </w:rPr>
        <w:t>Erre a betegcsoportra is ugyanazok az elvek érvényesek, mint a korábban már említett általános elvek a neuroimmunológiai beteg</w:t>
      </w:r>
      <w:r w:rsidR="62C55237" w:rsidRPr="00BD151C">
        <w:rPr>
          <w:rFonts w:cstheme="minorHAnsi"/>
        </w:rPr>
        <w:t>ségekben</w:t>
      </w:r>
      <w:r w:rsidRPr="00BD151C">
        <w:rPr>
          <w:rFonts w:cstheme="minorHAnsi"/>
        </w:rPr>
        <w:t>.</w:t>
      </w:r>
    </w:p>
    <w:p w14:paraId="4F7F4A07" w14:textId="37C82D86" w:rsidR="373EC5E2" w:rsidRPr="00BD151C" w:rsidRDefault="373EC5E2" w:rsidP="005828D7">
      <w:pPr>
        <w:spacing w:line="240" w:lineRule="auto"/>
        <w:jc w:val="both"/>
        <w:rPr>
          <w:rFonts w:cstheme="minorHAnsi"/>
        </w:rPr>
      </w:pPr>
      <w:r w:rsidRPr="00BD151C">
        <w:rPr>
          <w:rFonts w:cstheme="minorHAnsi"/>
        </w:rPr>
        <w:t>Az AQP-4 ellenanyag pozitív NMOSD-ben szenvedő betegek immunszuppresszív kezelése elengedhetetlen, de az anti-MOG pozitív betegek</w:t>
      </w:r>
      <w:r w:rsidR="00DD332F" w:rsidRPr="00BD151C">
        <w:rPr>
          <w:rFonts w:cstheme="minorHAnsi"/>
        </w:rPr>
        <w:t>,</w:t>
      </w:r>
      <w:r w:rsidRPr="00BD151C">
        <w:rPr>
          <w:rFonts w:cstheme="minorHAnsi"/>
        </w:rPr>
        <w:t xml:space="preserve"> és a kettős szeronegatív betegek is gyakran részesülnek rövidebb-hosszabb ideig szteroid kezelésben, vagy egyéb immunszuppresszív kezelésben</w:t>
      </w:r>
      <w:r w:rsidR="11A1CF05" w:rsidRPr="00BD151C">
        <w:rPr>
          <w:rFonts w:cstheme="minorHAnsi"/>
        </w:rPr>
        <w:t xml:space="preserve">. </w:t>
      </w:r>
      <w:r w:rsidR="11A1CF05" w:rsidRPr="00CE2AEB">
        <w:rPr>
          <w:rFonts w:cstheme="minorHAnsi"/>
        </w:rPr>
        <w:t xml:space="preserve">A többi neuroimmunológiai beteghez hasonlóan </w:t>
      </w:r>
      <w:r w:rsidR="00275350" w:rsidRPr="00CE2AEB">
        <w:rPr>
          <w:rFonts w:cstheme="minorHAnsi"/>
        </w:rPr>
        <w:t>a COVID-19 elleni vakcinák</w:t>
      </w:r>
      <w:r w:rsidR="00134E46">
        <w:rPr>
          <w:rFonts w:cstheme="minorHAnsi"/>
        </w:rPr>
        <w:t xml:space="preserve"> </w:t>
      </w:r>
      <w:r w:rsidR="0FAFEB1E" w:rsidRPr="00BD151C">
        <w:rPr>
          <w:rFonts w:cstheme="minorHAnsi"/>
        </w:rPr>
        <w:t>beadható</w:t>
      </w:r>
      <w:r w:rsidR="00275350">
        <w:rPr>
          <w:rFonts w:cstheme="minorHAnsi"/>
        </w:rPr>
        <w:t>ak</w:t>
      </w:r>
      <w:r w:rsidR="0FAFEB1E" w:rsidRPr="00BD151C">
        <w:rPr>
          <w:rFonts w:cstheme="minorHAnsi"/>
        </w:rPr>
        <w:t xml:space="preserve"> NMOSD betegeknek, ha betegségük nem aktív (nem zajlik éppen relapszusuk).</w:t>
      </w:r>
      <w:r w:rsidR="73A36E7E" w:rsidRPr="00BD151C">
        <w:rPr>
          <w:rFonts w:cstheme="minorHAnsi"/>
        </w:rPr>
        <w:t xml:space="preserve"> Relapszus esetén a vakcina halasztása javasolt. </w:t>
      </w:r>
      <w:r w:rsidR="0810B177" w:rsidRPr="00BD151C">
        <w:rPr>
          <w:rFonts w:cstheme="minorHAnsi"/>
        </w:rPr>
        <w:t>A vakcina beadását követően a PLEX kezelést lehetőség szerint kerülni kell 4 hétig.</w:t>
      </w:r>
    </w:p>
    <w:p w14:paraId="03AC230C" w14:textId="28E18CE5" w:rsidR="48B1317A" w:rsidRPr="00BD151C" w:rsidRDefault="48B1317A" w:rsidP="005828D7">
      <w:pPr>
        <w:spacing w:line="240" w:lineRule="auto"/>
        <w:jc w:val="both"/>
        <w:rPr>
          <w:rFonts w:cstheme="minorHAnsi"/>
        </w:rPr>
      </w:pPr>
      <w:r w:rsidRPr="00BD151C">
        <w:rPr>
          <w:rFonts w:cstheme="minorHAnsi"/>
        </w:rPr>
        <w:t xml:space="preserve">Mint minden más immunszuppresszív kezelés esetén, NMOSD-ben is számítanunk kell arra, hogy bizonyos kezelések esetén a vakcina hatására kialakuló immunválasz </w:t>
      </w:r>
      <w:r w:rsidR="00DD332F" w:rsidRPr="00BD151C">
        <w:rPr>
          <w:rFonts w:cstheme="minorHAnsi"/>
        </w:rPr>
        <w:t xml:space="preserve">intenzitása </w:t>
      </w:r>
      <w:r w:rsidRPr="00BD151C">
        <w:rPr>
          <w:rFonts w:cstheme="minorHAnsi"/>
        </w:rPr>
        <w:t>elmarad a kezeletlen egyének immunválaszától</w:t>
      </w:r>
      <w:r w:rsidR="00DD332F" w:rsidRPr="00BD151C">
        <w:rPr>
          <w:rFonts w:cstheme="minorHAnsi"/>
        </w:rPr>
        <w:t>. Az</w:t>
      </w:r>
      <w:r w:rsidR="2BF71FF1" w:rsidRPr="00BD151C">
        <w:rPr>
          <w:rFonts w:cstheme="minorHAnsi"/>
        </w:rPr>
        <w:t xml:space="preserve"> egyéb védekezési eljárások (maszk, távolságtartás, kézhigiéne) betartásának fontosságára és a fészekvédelem j</w:t>
      </w:r>
      <w:r w:rsidR="2C7B5213" w:rsidRPr="00BD151C">
        <w:rPr>
          <w:rFonts w:cstheme="minorHAnsi"/>
        </w:rPr>
        <w:t xml:space="preserve">elentőségére </w:t>
      </w:r>
      <w:r w:rsidR="2BF71FF1" w:rsidRPr="00BD151C">
        <w:rPr>
          <w:rFonts w:cstheme="minorHAnsi"/>
        </w:rPr>
        <w:t>a betegek figyelmét fel kell hívni</w:t>
      </w:r>
      <w:r w:rsidR="60C330BA" w:rsidRPr="00BD151C">
        <w:rPr>
          <w:rFonts w:cstheme="minorHAnsi"/>
        </w:rPr>
        <w:t>, ahogyan arra is, hogy az oltást követően sem zárható ki a tünetmentes hordozás</w:t>
      </w:r>
      <w:r w:rsidR="3E29AF37" w:rsidRPr="00BD151C">
        <w:rPr>
          <w:rFonts w:cstheme="minorHAnsi"/>
        </w:rPr>
        <w:t xml:space="preserve"> lehetősége</w:t>
      </w:r>
      <w:r w:rsidR="60C330BA" w:rsidRPr="00BD151C">
        <w:rPr>
          <w:rFonts w:cstheme="minorHAnsi"/>
        </w:rPr>
        <w:t>, és így a környezet megfertőzésének a veszélye.</w:t>
      </w:r>
    </w:p>
    <w:p w14:paraId="78B27B9A" w14:textId="1CD9F81C" w:rsidR="48B1317A" w:rsidRPr="00BD151C" w:rsidRDefault="48B1317A" w:rsidP="005828D7">
      <w:pPr>
        <w:shd w:val="clear" w:color="auto" w:fill="FFFFFF" w:themeFill="background1"/>
        <w:spacing w:beforeAutospacing="1" w:afterAutospacing="1" w:line="240" w:lineRule="auto"/>
        <w:jc w:val="both"/>
        <w:rPr>
          <w:rFonts w:cstheme="minorHAnsi"/>
          <w:color w:val="555555"/>
        </w:rPr>
      </w:pPr>
      <w:r w:rsidRPr="00BD151C">
        <w:rPr>
          <w:rFonts w:eastAsia="Times New Roman" w:cstheme="minorHAnsi"/>
          <w:b/>
          <w:bCs/>
          <w:lang w:eastAsia="hu-HU"/>
        </w:rPr>
        <w:t>Szteroid</w:t>
      </w:r>
      <w:r w:rsidRPr="00BD151C">
        <w:rPr>
          <w:rFonts w:eastAsia="Times New Roman" w:cstheme="minorHAnsi"/>
          <w:lang w:eastAsia="hu-HU"/>
        </w:rPr>
        <w:t>kezelés: a relapszus miatt nagy dózisban adott, majd fokozatosan leépített</w:t>
      </w:r>
      <w:r w:rsidRPr="00BD151C">
        <w:rPr>
          <w:rFonts w:eastAsia="Times New Roman" w:cstheme="minorHAnsi"/>
          <w:color w:val="3E3E3E"/>
          <w:lang w:eastAsia="hu-HU"/>
        </w:rPr>
        <w:t xml:space="preserve"> szteroid terápi</w:t>
      </w:r>
      <w:r w:rsidR="5A5F8E9E" w:rsidRPr="00BD151C">
        <w:rPr>
          <w:rFonts w:eastAsia="Times New Roman" w:cstheme="minorHAnsi"/>
          <w:color w:val="3E3E3E"/>
          <w:lang w:eastAsia="hu-HU"/>
        </w:rPr>
        <w:t xml:space="preserve">a </w:t>
      </w:r>
      <w:r w:rsidR="5A5F8E9E" w:rsidRPr="00C80BD3">
        <w:rPr>
          <w:rFonts w:eastAsia="Times New Roman" w:cstheme="minorHAnsi"/>
          <w:color w:val="3E3E3E"/>
          <w:lang w:eastAsia="hu-HU"/>
        </w:rPr>
        <w:t>alatt, és a szteroidkezelést követően 3 hónapig</w:t>
      </w:r>
      <w:r w:rsidRPr="00C80BD3">
        <w:rPr>
          <w:rFonts w:eastAsia="Times New Roman" w:cstheme="minorHAnsi"/>
          <w:color w:val="3E3E3E"/>
          <w:lang w:eastAsia="hu-HU"/>
        </w:rPr>
        <w:t xml:space="preserve"> a vakcina védőhatása csökkent lehet</w:t>
      </w:r>
      <w:r w:rsidR="00E43DBE" w:rsidRPr="00C80BD3">
        <w:rPr>
          <w:rFonts w:eastAsia="Times New Roman" w:cstheme="minorHAnsi"/>
          <w:color w:val="3E3E3E"/>
          <w:lang w:eastAsia="hu-HU"/>
        </w:rPr>
        <w:t>, de beadható.</w:t>
      </w:r>
    </w:p>
    <w:p w14:paraId="692CEFB0" w14:textId="22D0DB21" w:rsidR="48B1317A" w:rsidRPr="00BD151C" w:rsidRDefault="48B1317A" w:rsidP="005828D7">
      <w:pPr>
        <w:shd w:val="clear" w:color="auto" w:fill="FFFFFF" w:themeFill="background1"/>
        <w:spacing w:line="240" w:lineRule="auto"/>
        <w:jc w:val="both"/>
        <w:rPr>
          <w:rFonts w:eastAsia="Times New Roman" w:cstheme="minorHAnsi"/>
          <w:color w:val="3E3E3E"/>
          <w:lang w:eastAsia="hu-HU"/>
        </w:rPr>
      </w:pPr>
      <w:r w:rsidRPr="00BD151C">
        <w:rPr>
          <w:rFonts w:cstheme="minorHAnsi"/>
          <w:b/>
          <w:bCs/>
          <w:color w:val="555555"/>
        </w:rPr>
        <w:lastRenderedPageBreak/>
        <w:t>A</w:t>
      </w:r>
      <w:r w:rsidRPr="00BD151C">
        <w:rPr>
          <w:rFonts w:eastAsia="Times New Roman" w:cstheme="minorHAnsi"/>
          <w:b/>
          <w:bCs/>
          <w:color w:val="3E3E3E"/>
          <w:lang w:eastAsia="hu-HU"/>
        </w:rPr>
        <w:t>zatioprin, m</w:t>
      </w:r>
      <w:r w:rsidR="00D434FA" w:rsidRPr="00BD151C">
        <w:rPr>
          <w:rFonts w:eastAsia="Times New Roman" w:cstheme="minorHAnsi"/>
          <w:b/>
          <w:bCs/>
          <w:color w:val="3E3E3E"/>
          <w:lang w:eastAsia="hu-HU"/>
        </w:rPr>
        <w:t>ik</w:t>
      </w:r>
      <w:r w:rsidRPr="00BD151C">
        <w:rPr>
          <w:rFonts w:eastAsia="Times New Roman" w:cstheme="minorHAnsi"/>
          <w:b/>
          <w:bCs/>
          <w:color w:val="3E3E3E"/>
          <w:lang w:eastAsia="hu-HU"/>
        </w:rPr>
        <w:t>o</w:t>
      </w:r>
      <w:r w:rsidR="00D434FA" w:rsidRPr="00BD151C">
        <w:rPr>
          <w:rFonts w:eastAsia="Times New Roman" w:cstheme="minorHAnsi"/>
          <w:b/>
          <w:bCs/>
          <w:color w:val="3E3E3E"/>
          <w:lang w:eastAsia="hu-HU"/>
        </w:rPr>
        <w:t>f</w:t>
      </w:r>
      <w:r w:rsidRPr="00BD151C">
        <w:rPr>
          <w:rFonts w:eastAsia="Times New Roman" w:cstheme="minorHAnsi"/>
          <w:b/>
          <w:bCs/>
          <w:color w:val="3E3E3E"/>
          <w:lang w:eastAsia="hu-HU"/>
        </w:rPr>
        <w:t>enol</w:t>
      </w:r>
      <w:r w:rsidR="00D434FA" w:rsidRPr="00BD151C">
        <w:rPr>
          <w:rFonts w:eastAsia="Times New Roman" w:cstheme="minorHAnsi"/>
          <w:b/>
          <w:bCs/>
          <w:color w:val="3E3E3E"/>
          <w:lang w:eastAsia="hu-HU"/>
        </w:rPr>
        <w:t>á</w:t>
      </w:r>
      <w:r w:rsidRPr="00BD151C">
        <w:rPr>
          <w:rFonts w:eastAsia="Times New Roman" w:cstheme="minorHAnsi"/>
          <w:b/>
          <w:bCs/>
          <w:color w:val="3E3E3E"/>
          <w:lang w:eastAsia="hu-HU"/>
        </w:rPr>
        <w:t>t</w:t>
      </w:r>
      <w:r w:rsidR="00D434FA" w:rsidRPr="00BD151C">
        <w:rPr>
          <w:rFonts w:eastAsia="Times New Roman" w:cstheme="minorHAnsi"/>
          <w:b/>
          <w:bCs/>
          <w:color w:val="3E3E3E"/>
          <w:lang w:eastAsia="hu-HU"/>
        </w:rPr>
        <w:t>-</w:t>
      </w:r>
      <w:r w:rsidRPr="00BD151C">
        <w:rPr>
          <w:rFonts w:eastAsia="Times New Roman" w:cstheme="minorHAnsi"/>
          <w:b/>
          <w:bCs/>
          <w:color w:val="3E3E3E"/>
          <w:lang w:eastAsia="hu-HU"/>
        </w:rPr>
        <w:t>mofetil</w:t>
      </w:r>
      <w:r w:rsidR="6E069D3F" w:rsidRPr="00BD151C">
        <w:rPr>
          <w:rFonts w:eastAsia="Times New Roman" w:cstheme="minorHAnsi"/>
          <w:color w:val="3E3E3E"/>
          <w:lang w:eastAsia="hu-HU"/>
        </w:rPr>
        <w:t xml:space="preserve"> kezelés esetén</w:t>
      </w:r>
      <w:r w:rsidR="00CB4499" w:rsidRPr="00BD151C">
        <w:rPr>
          <w:rFonts w:eastAsia="Times New Roman" w:cstheme="minorHAnsi"/>
          <w:color w:val="3E3E3E"/>
          <w:lang w:eastAsia="hu-HU"/>
        </w:rPr>
        <w:t xml:space="preserve"> hatékony immunizáció elvileg lehetséges</w:t>
      </w:r>
      <w:r w:rsidR="00D434FA" w:rsidRPr="00BD151C">
        <w:rPr>
          <w:rFonts w:eastAsia="Times New Roman" w:cstheme="minorHAnsi"/>
          <w:color w:val="3E3E3E"/>
          <w:lang w:eastAsia="hu-HU"/>
        </w:rPr>
        <w:t>,</w:t>
      </w:r>
      <w:r w:rsidRPr="00BD151C">
        <w:rPr>
          <w:rFonts w:eastAsia="Times New Roman" w:cstheme="minorHAnsi"/>
          <w:color w:val="3E3E3E"/>
          <w:lang w:eastAsia="hu-HU"/>
        </w:rPr>
        <w:t xml:space="preserve"> </w:t>
      </w:r>
      <w:r w:rsidR="00CB4499" w:rsidRPr="00BD151C">
        <w:rPr>
          <w:rFonts w:eastAsia="Times New Roman" w:cstheme="minorHAnsi"/>
          <w:color w:val="3E3E3E"/>
          <w:lang w:eastAsia="hu-HU"/>
        </w:rPr>
        <w:t xml:space="preserve">de </w:t>
      </w:r>
      <w:r w:rsidRPr="00BD151C">
        <w:rPr>
          <w:rFonts w:eastAsia="Times New Roman" w:cstheme="minorHAnsi"/>
          <w:color w:val="3E3E3E"/>
          <w:lang w:eastAsia="hu-HU"/>
        </w:rPr>
        <w:t>számít</w:t>
      </w:r>
      <w:r w:rsidR="00CB4499" w:rsidRPr="00BD151C">
        <w:rPr>
          <w:rFonts w:eastAsia="Times New Roman" w:cstheme="minorHAnsi"/>
          <w:color w:val="3E3E3E"/>
          <w:lang w:eastAsia="hu-HU"/>
        </w:rPr>
        <w:t xml:space="preserve">ani kell </w:t>
      </w:r>
      <w:r w:rsidRPr="00BD151C">
        <w:rPr>
          <w:rFonts w:eastAsia="Times New Roman" w:cstheme="minorHAnsi"/>
          <w:color w:val="3E3E3E"/>
          <w:lang w:eastAsia="hu-HU"/>
        </w:rPr>
        <w:t xml:space="preserve">csökkent védőhatásra. </w:t>
      </w:r>
    </w:p>
    <w:p w14:paraId="7E1D5314" w14:textId="72E80844" w:rsidR="71F05004" w:rsidRPr="00BD151C" w:rsidRDefault="71F05004" w:rsidP="005828D7">
      <w:pPr>
        <w:shd w:val="clear" w:color="auto" w:fill="FFFFFF" w:themeFill="background1"/>
        <w:spacing w:line="240" w:lineRule="auto"/>
        <w:jc w:val="both"/>
        <w:rPr>
          <w:rFonts w:eastAsia="Times New Roman" w:cstheme="minorHAnsi"/>
          <w:color w:val="FF0000"/>
          <w:lang w:eastAsia="hu-HU"/>
        </w:rPr>
      </w:pPr>
      <w:r w:rsidRPr="00BD151C">
        <w:rPr>
          <w:rFonts w:eastAsia="Times New Roman" w:cstheme="minorHAnsi"/>
          <w:color w:val="3E3E3E"/>
          <w:lang w:eastAsia="hu-HU"/>
        </w:rPr>
        <w:t>B-sejt gátló terápiák</w:t>
      </w:r>
      <w:r w:rsidR="0147DD35" w:rsidRPr="00BD151C">
        <w:rPr>
          <w:rFonts w:eastAsia="Times New Roman" w:cstheme="minorHAnsi"/>
          <w:color w:val="3E3E3E"/>
          <w:lang w:eastAsia="hu-HU"/>
        </w:rPr>
        <w:t xml:space="preserve"> esetén</w:t>
      </w:r>
      <w:r w:rsidR="36948965" w:rsidRPr="00BD151C">
        <w:rPr>
          <w:rFonts w:eastAsia="Times New Roman" w:cstheme="minorHAnsi"/>
          <w:color w:val="3E3E3E"/>
          <w:lang w:eastAsia="hu-HU"/>
        </w:rPr>
        <w:t xml:space="preserve"> </w:t>
      </w:r>
      <w:r w:rsidR="00FE30E9" w:rsidRPr="00BD151C">
        <w:rPr>
          <w:rFonts w:eastAsia="Times New Roman" w:cstheme="minorHAnsi"/>
          <w:color w:val="3E3E3E"/>
          <w:lang w:eastAsia="hu-HU"/>
        </w:rPr>
        <w:t>–</w:t>
      </w:r>
      <w:r w:rsidRPr="00BD151C">
        <w:rPr>
          <w:rFonts w:eastAsia="Times New Roman" w:cstheme="minorHAnsi"/>
          <w:color w:val="3E3E3E"/>
          <w:lang w:eastAsia="hu-HU"/>
        </w:rPr>
        <w:t xml:space="preserve"> </w:t>
      </w:r>
      <w:r w:rsidRPr="00BD151C">
        <w:rPr>
          <w:rFonts w:eastAsia="Times New Roman" w:cstheme="minorHAnsi"/>
          <w:b/>
          <w:bCs/>
          <w:color w:val="3E3E3E"/>
          <w:lang w:eastAsia="hu-HU"/>
        </w:rPr>
        <w:t>rituximab</w:t>
      </w:r>
      <w:r w:rsidR="00FE30E9" w:rsidRPr="00BD151C">
        <w:rPr>
          <w:rFonts w:eastAsia="Times New Roman" w:cstheme="minorHAnsi"/>
          <w:b/>
          <w:bCs/>
          <w:color w:val="3E3E3E"/>
          <w:lang w:eastAsia="hu-HU"/>
        </w:rPr>
        <w:t xml:space="preserve"> </w:t>
      </w:r>
      <w:r w:rsidR="00FE30E9" w:rsidRPr="00BD151C">
        <w:rPr>
          <w:rFonts w:eastAsia="Times New Roman" w:cstheme="minorHAnsi"/>
          <w:color w:val="3E3E3E"/>
          <w:lang w:eastAsia="hu-HU"/>
        </w:rPr>
        <w:t>(anti-CD20)</w:t>
      </w:r>
      <w:r w:rsidR="0CCFB450" w:rsidRPr="00BD151C">
        <w:rPr>
          <w:rFonts w:eastAsia="Times New Roman" w:cstheme="minorHAnsi"/>
          <w:color w:val="3E3E3E"/>
          <w:lang w:eastAsia="hu-HU"/>
        </w:rPr>
        <w:t>,</w:t>
      </w:r>
      <w:r w:rsidR="0CCFB450" w:rsidRPr="00BD151C">
        <w:rPr>
          <w:rFonts w:eastAsia="Times New Roman" w:cstheme="minorHAnsi"/>
          <w:b/>
          <w:bCs/>
          <w:color w:val="3E3E3E"/>
          <w:lang w:eastAsia="hu-HU"/>
        </w:rPr>
        <w:t xml:space="preserve"> inebilizumab</w:t>
      </w:r>
      <w:r w:rsidR="00FE30E9" w:rsidRPr="00BD151C">
        <w:rPr>
          <w:rFonts w:eastAsia="Times New Roman" w:cstheme="minorHAnsi"/>
          <w:b/>
          <w:bCs/>
          <w:color w:val="3E3E3E"/>
          <w:lang w:eastAsia="hu-HU"/>
        </w:rPr>
        <w:t xml:space="preserve"> </w:t>
      </w:r>
      <w:r w:rsidR="00FE30E9" w:rsidRPr="00BD151C">
        <w:rPr>
          <w:rFonts w:eastAsia="Times New Roman" w:cstheme="minorHAnsi"/>
          <w:color w:val="3E3E3E"/>
          <w:lang w:eastAsia="hu-HU"/>
        </w:rPr>
        <w:t>(anti-CD19)</w:t>
      </w:r>
      <w:r w:rsidR="5EAA94C7" w:rsidRPr="00BD151C">
        <w:rPr>
          <w:rFonts w:eastAsia="Times New Roman" w:cstheme="minorHAnsi"/>
          <w:b/>
          <w:bCs/>
          <w:color w:val="3E3E3E"/>
          <w:lang w:eastAsia="hu-HU"/>
        </w:rPr>
        <w:t xml:space="preserve"> </w:t>
      </w:r>
      <w:r w:rsidR="00C872E1">
        <w:rPr>
          <w:rFonts w:eastAsia="Times New Roman" w:cstheme="minorHAnsi"/>
          <w:color w:val="3E3E3E"/>
          <w:lang w:eastAsia="hu-HU"/>
        </w:rPr>
        <w:t xml:space="preserve">– </w:t>
      </w:r>
      <w:r w:rsidR="541D9635" w:rsidRPr="00BD151C">
        <w:rPr>
          <w:rFonts w:eastAsia="Times New Roman" w:cstheme="minorHAnsi"/>
          <w:color w:val="3E3E3E"/>
          <w:lang w:eastAsia="hu-HU"/>
        </w:rPr>
        <w:t>potenciálisan</w:t>
      </w:r>
      <w:r w:rsidR="52B63BEA" w:rsidRPr="00BD151C">
        <w:rPr>
          <w:rFonts w:eastAsia="Times New Roman" w:cstheme="minorHAnsi"/>
          <w:color w:val="3E3E3E"/>
          <w:lang w:eastAsia="hu-HU"/>
        </w:rPr>
        <w:t xml:space="preserve"> </w:t>
      </w:r>
      <w:r w:rsidR="7FAC39E4" w:rsidRPr="00BD151C">
        <w:rPr>
          <w:rFonts w:eastAsia="Times New Roman" w:cstheme="minorHAnsi"/>
          <w:color w:val="3E3E3E"/>
          <w:lang w:eastAsia="hu-HU"/>
        </w:rPr>
        <w:t>csökkent immunválaszra számíthatunk a vakcináció után, a vakcina beadásának időzítése lehetőség szerint a soron következő infúzió beadása előtti időszak</w:t>
      </w:r>
      <w:r w:rsidR="5A078D27" w:rsidRPr="00BD151C">
        <w:rPr>
          <w:rFonts w:eastAsia="Times New Roman" w:cstheme="minorHAnsi"/>
          <w:color w:val="3E3E3E"/>
          <w:lang w:eastAsia="hu-HU"/>
        </w:rPr>
        <w:t>ban</w:t>
      </w:r>
      <w:r w:rsidR="7FAC39E4" w:rsidRPr="00BD151C">
        <w:rPr>
          <w:rFonts w:eastAsia="Times New Roman" w:cstheme="minorHAnsi"/>
          <w:color w:val="3E3E3E"/>
          <w:lang w:eastAsia="hu-HU"/>
        </w:rPr>
        <w:t xml:space="preserve">, a megelőző infúziós ciklus után </w:t>
      </w:r>
      <w:r w:rsidR="00DB4A4A" w:rsidRPr="00BD151C">
        <w:rPr>
          <w:rFonts w:eastAsia="Times New Roman" w:cstheme="minorHAnsi"/>
          <w:color w:val="3E3E3E"/>
          <w:lang w:eastAsia="hu-HU"/>
        </w:rPr>
        <w:t xml:space="preserve">legalább </w:t>
      </w:r>
      <w:r w:rsidR="7FAC39E4" w:rsidRPr="00BD151C">
        <w:rPr>
          <w:rFonts w:eastAsia="Times New Roman" w:cstheme="minorHAnsi"/>
          <w:color w:val="3E3E3E"/>
          <w:lang w:eastAsia="hu-HU"/>
        </w:rPr>
        <w:t>2-4 hónappal történjen</w:t>
      </w:r>
      <w:r w:rsidR="64FE4CA9" w:rsidRPr="00BD151C">
        <w:rPr>
          <w:rFonts w:eastAsia="Times New Roman" w:cstheme="minorHAnsi"/>
          <w:color w:val="3E3E3E"/>
          <w:lang w:eastAsia="hu-HU"/>
        </w:rPr>
        <w:t>. A vakcina beadását követően lehetőség szerint ellenőrizni kell a kialakuló szerológiai választ.</w:t>
      </w:r>
      <w:r w:rsidR="275ACD1A" w:rsidRPr="00BD151C">
        <w:rPr>
          <w:rFonts w:eastAsia="Times New Roman" w:cstheme="minorHAnsi"/>
          <w:color w:val="3E3E3E"/>
          <w:lang w:eastAsia="hu-HU"/>
        </w:rPr>
        <w:t xml:space="preserve"> </w:t>
      </w:r>
      <w:r w:rsidR="00FF1D17" w:rsidRPr="00BD151C">
        <w:rPr>
          <w:rFonts w:eastAsia="Times New Roman" w:cstheme="minorHAnsi"/>
          <w:color w:val="3E3E3E"/>
          <w:lang w:eastAsia="hu-HU"/>
        </w:rPr>
        <w:t xml:space="preserve">Lásd. még SM </w:t>
      </w:r>
      <w:r w:rsidR="00EE53BB" w:rsidRPr="00BD151C">
        <w:rPr>
          <w:rFonts w:eastAsia="Times New Roman" w:cstheme="minorHAnsi"/>
          <w:color w:val="3E3E3E"/>
          <w:lang w:eastAsia="hu-HU"/>
        </w:rPr>
        <w:t>kezelés</w:t>
      </w:r>
      <w:r w:rsidR="00FF1D17" w:rsidRPr="00BD151C">
        <w:rPr>
          <w:rFonts w:eastAsia="Times New Roman" w:cstheme="minorHAnsi"/>
          <w:color w:val="3E3E3E"/>
          <w:lang w:eastAsia="hu-HU"/>
        </w:rPr>
        <w:t>.</w:t>
      </w:r>
    </w:p>
    <w:p w14:paraId="28FC9FE9" w14:textId="77777777" w:rsidR="008B2497" w:rsidRPr="00BD151C" w:rsidRDefault="00DB4A4A" w:rsidP="005828D7">
      <w:pPr>
        <w:shd w:val="clear" w:color="auto" w:fill="FFFFFF" w:themeFill="background1"/>
        <w:spacing w:line="240" w:lineRule="auto"/>
        <w:jc w:val="both"/>
        <w:rPr>
          <w:rFonts w:eastAsia="Times New Roman" w:cstheme="minorHAnsi"/>
          <w:color w:val="FF0000"/>
          <w:lang w:eastAsia="hu-HU"/>
        </w:rPr>
      </w:pPr>
      <w:r w:rsidRPr="00BD151C">
        <w:rPr>
          <w:rFonts w:eastAsia="Times New Roman" w:cstheme="minorHAnsi"/>
          <w:lang w:eastAsia="hu-HU"/>
        </w:rPr>
        <w:t>Meg kell jegyezni azonban, hogy az E</w:t>
      </w:r>
      <w:r w:rsidR="0026315C" w:rsidRPr="00BD151C">
        <w:rPr>
          <w:rFonts w:eastAsia="Times New Roman" w:cstheme="minorHAnsi"/>
          <w:lang w:eastAsia="hu-HU"/>
        </w:rPr>
        <w:t>u</w:t>
      </w:r>
      <w:r w:rsidRPr="00BD151C">
        <w:rPr>
          <w:rFonts w:eastAsia="Times New Roman" w:cstheme="minorHAnsi"/>
          <w:lang w:eastAsia="hu-HU"/>
        </w:rPr>
        <w:t>LAR állásfoglalása szerint B-sejt gátló kezelés után, a szer kinetikájától függően 3-6 hónapig a primer oltási válasz létrejötte erősen kér</w:t>
      </w:r>
      <w:r w:rsidR="0026315C" w:rsidRPr="00BD151C">
        <w:rPr>
          <w:rFonts w:eastAsia="Times New Roman" w:cstheme="minorHAnsi"/>
          <w:lang w:eastAsia="hu-HU"/>
        </w:rPr>
        <w:t>déses.</w:t>
      </w:r>
      <w:r w:rsidR="0026315C" w:rsidRPr="00BD151C">
        <w:rPr>
          <w:rFonts w:eastAsia="Times New Roman" w:cstheme="minorHAnsi"/>
          <w:color w:val="FF0000"/>
          <w:lang w:eastAsia="hu-HU"/>
        </w:rPr>
        <w:t xml:space="preserve"> </w:t>
      </w:r>
    </w:p>
    <w:p w14:paraId="581C18B7" w14:textId="11CF3878" w:rsidR="64FE4CA9" w:rsidRPr="00BD151C" w:rsidRDefault="64FE4CA9" w:rsidP="005828D7">
      <w:pPr>
        <w:shd w:val="clear" w:color="auto" w:fill="FFFFFF" w:themeFill="background1"/>
        <w:spacing w:line="240" w:lineRule="auto"/>
        <w:jc w:val="both"/>
        <w:rPr>
          <w:rFonts w:eastAsia="Times New Roman" w:cstheme="minorHAnsi"/>
          <w:color w:val="3E3E3E"/>
          <w:lang w:eastAsia="hu-HU"/>
        </w:rPr>
      </w:pPr>
      <w:r w:rsidRPr="00BD151C">
        <w:rPr>
          <w:rFonts w:eastAsia="Times New Roman" w:cstheme="minorHAnsi"/>
          <w:b/>
          <w:bCs/>
          <w:color w:val="3E3E3E"/>
          <w:lang w:eastAsia="hu-HU"/>
        </w:rPr>
        <w:t>Satralizumab</w:t>
      </w:r>
      <w:r w:rsidR="00FE30E9" w:rsidRPr="00BD151C">
        <w:rPr>
          <w:rFonts w:eastAsia="Times New Roman" w:cstheme="minorHAnsi"/>
          <w:b/>
          <w:bCs/>
          <w:color w:val="3E3E3E"/>
          <w:lang w:eastAsia="hu-HU"/>
        </w:rPr>
        <w:t xml:space="preserve"> </w:t>
      </w:r>
      <w:r w:rsidR="00FE30E9" w:rsidRPr="00BD151C">
        <w:rPr>
          <w:rFonts w:eastAsia="Times New Roman" w:cstheme="minorHAnsi"/>
          <w:color w:val="3E3E3E"/>
          <w:lang w:eastAsia="hu-HU"/>
        </w:rPr>
        <w:t>(anti-IL6 receptor monoclonalis ellenanyag</w:t>
      </w:r>
      <w:r w:rsidR="00DD332F" w:rsidRPr="00BD151C">
        <w:rPr>
          <w:rFonts w:eastAsia="Times New Roman" w:cstheme="minorHAnsi"/>
          <w:color w:val="3E3E3E"/>
          <w:lang w:eastAsia="hu-HU"/>
        </w:rPr>
        <w:t>, Európában még nem törzskönyvezett gyógyszer</w:t>
      </w:r>
      <w:r w:rsidR="00FE30E9" w:rsidRPr="00BD151C">
        <w:rPr>
          <w:rFonts w:eastAsia="Times New Roman" w:cstheme="minorHAnsi"/>
          <w:color w:val="3E3E3E"/>
          <w:lang w:eastAsia="hu-HU"/>
        </w:rPr>
        <w:t>)</w:t>
      </w:r>
      <w:r w:rsidR="00DD332F" w:rsidRPr="00BD151C">
        <w:rPr>
          <w:rFonts w:eastAsia="Times New Roman" w:cstheme="minorHAnsi"/>
          <w:color w:val="3E3E3E"/>
          <w:lang w:eastAsia="hu-HU"/>
        </w:rPr>
        <w:t>: N</w:t>
      </w:r>
      <w:r w:rsidR="06AD3FB3" w:rsidRPr="00BD151C">
        <w:rPr>
          <w:rFonts w:eastAsia="Times New Roman" w:cstheme="minorHAnsi"/>
          <w:color w:val="3E3E3E"/>
          <w:lang w:eastAsia="hu-HU"/>
        </w:rPr>
        <w:t>incs adat a vakcina hatását illetően satralizumabbal kezelt NMOSD-be</w:t>
      </w:r>
      <w:r w:rsidR="195CD0BD" w:rsidRPr="00BD151C">
        <w:rPr>
          <w:rFonts w:eastAsia="Times New Roman" w:cstheme="minorHAnsi"/>
          <w:color w:val="3E3E3E"/>
          <w:lang w:eastAsia="hu-HU"/>
        </w:rPr>
        <w:t>n. Hatá</w:t>
      </w:r>
      <w:r w:rsidR="24A4977D" w:rsidRPr="00BD151C">
        <w:rPr>
          <w:rFonts w:eastAsia="Times New Roman" w:cstheme="minorHAnsi"/>
          <w:color w:val="3E3E3E"/>
          <w:lang w:eastAsia="hu-HU"/>
        </w:rPr>
        <w:t>smechanizmusa alapján (IL-6</w:t>
      </w:r>
      <w:r w:rsidR="00FE30E9" w:rsidRPr="00BD151C">
        <w:rPr>
          <w:rFonts w:eastAsia="Times New Roman" w:cstheme="minorHAnsi"/>
          <w:color w:val="3E3E3E"/>
          <w:lang w:eastAsia="hu-HU"/>
        </w:rPr>
        <w:t xml:space="preserve"> jelátvitel</w:t>
      </w:r>
      <w:r w:rsidR="24A4977D" w:rsidRPr="00BD151C">
        <w:rPr>
          <w:rFonts w:eastAsia="Times New Roman" w:cstheme="minorHAnsi"/>
          <w:color w:val="3E3E3E"/>
          <w:lang w:eastAsia="hu-HU"/>
        </w:rPr>
        <w:t xml:space="preserve"> gátlás) alkalmazása a COVID-pandemia idején és a vakcináció szempontjából </w:t>
      </w:r>
      <w:r w:rsidR="19D2C9C5" w:rsidRPr="00BD151C">
        <w:rPr>
          <w:rFonts w:eastAsia="Times New Roman" w:cstheme="minorHAnsi"/>
          <w:color w:val="3E3E3E"/>
          <w:lang w:eastAsia="hu-HU"/>
        </w:rPr>
        <w:t xml:space="preserve">is </w:t>
      </w:r>
      <w:r w:rsidR="24A4977D" w:rsidRPr="00BD151C">
        <w:rPr>
          <w:rFonts w:eastAsia="Times New Roman" w:cstheme="minorHAnsi"/>
          <w:color w:val="3E3E3E"/>
          <w:lang w:eastAsia="hu-HU"/>
        </w:rPr>
        <w:t>szerencsésebbnek tűnik, mint a B-sejt gátló terápiáké</w:t>
      </w:r>
      <w:r w:rsidR="00DD332F" w:rsidRPr="00BD151C">
        <w:rPr>
          <w:rFonts w:eastAsia="Times New Roman" w:cstheme="minorHAnsi"/>
          <w:color w:val="3E3E3E"/>
          <w:lang w:eastAsia="hu-HU"/>
        </w:rPr>
        <w:t xml:space="preserve">, mert </w:t>
      </w:r>
      <w:r w:rsidR="24A4977D" w:rsidRPr="00BD151C">
        <w:rPr>
          <w:rFonts w:eastAsia="Times New Roman" w:cstheme="minorHAnsi"/>
          <w:color w:val="3E3E3E"/>
          <w:lang w:eastAsia="hu-HU"/>
        </w:rPr>
        <w:t>kevésbé immunszuppresszív</w:t>
      </w:r>
      <w:r w:rsidR="00FE30E9" w:rsidRPr="00BD151C">
        <w:rPr>
          <w:rFonts w:eastAsia="Times New Roman" w:cstheme="minorHAnsi"/>
          <w:color w:val="3E3E3E"/>
          <w:lang w:eastAsia="hu-HU"/>
        </w:rPr>
        <w:t>;</w:t>
      </w:r>
      <w:r w:rsidR="00DD332F" w:rsidRPr="00BD151C">
        <w:rPr>
          <w:rFonts w:eastAsia="Times New Roman" w:cstheme="minorHAnsi"/>
          <w:color w:val="3E3E3E"/>
          <w:lang w:eastAsia="hu-HU"/>
        </w:rPr>
        <w:t xml:space="preserve"> és</w:t>
      </w:r>
      <w:r w:rsidR="24A4977D" w:rsidRPr="00BD151C">
        <w:rPr>
          <w:rFonts w:eastAsia="Times New Roman" w:cstheme="minorHAnsi"/>
          <w:color w:val="3E3E3E"/>
          <w:lang w:eastAsia="hu-HU"/>
        </w:rPr>
        <w:t xml:space="preserve"> I</w:t>
      </w:r>
      <w:r w:rsidR="1EC2333B" w:rsidRPr="00BD151C">
        <w:rPr>
          <w:rFonts w:eastAsia="Times New Roman" w:cstheme="minorHAnsi"/>
          <w:color w:val="3E3E3E"/>
          <w:lang w:eastAsia="hu-HU"/>
        </w:rPr>
        <w:t>L-6 gátlást alkalmaznak a citokinvihar kivédésére súlyos COVID-19 fertőzésben</w:t>
      </w:r>
      <w:r w:rsidR="00DD332F" w:rsidRPr="00BD151C">
        <w:rPr>
          <w:rFonts w:eastAsia="Times New Roman" w:cstheme="minorHAnsi"/>
          <w:color w:val="3E3E3E"/>
          <w:lang w:eastAsia="hu-HU"/>
        </w:rPr>
        <w:t>.</w:t>
      </w:r>
      <w:r w:rsidR="1EC2333B" w:rsidRPr="00BD151C">
        <w:rPr>
          <w:rFonts w:eastAsia="Times New Roman" w:cstheme="minorHAnsi"/>
          <w:color w:val="3E3E3E"/>
          <w:lang w:eastAsia="hu-HU"/>
        </w:rPr>
        <w:t xml:space="preserve"> </w:t>
      </w:r>
      <w:r w:rsidR="00DD332F" w:rsidRPr="00BD151C">
        <w:rPr>
          <w:rFonts w:eastAsia="Times New Roman" w:cstheme="minorHAnsi"/>
          <w:color w:val="3E3E3E"/>
          <w:lang w:eastAsia="hu-HU"/>
        </w:rPr>
        <w:t>A</w:t>
      </w:r>
      <w:r w:rsidR="1EC2333B" w:rsidRPr="00BD151C">
        <w:rPr>
          <w:rFonts w:eastAsia="Times New Roman" w:cstheme="minorHAnsi"/>
          <w:color w:val="3E3E3E"/>
          <w:lang w:eastAsia="hu-HU"/>
        </w:rPr>
        <w:t>lkalmazása havonkénti subcutan injekció formájában történik, tehát a betegnek nem kell a kórházba mennie a kezelés</w:t>
      </w:r>
      <w:r w:rsidR="5D67186C" w:rsidRPr="00BD151C">
        <w:rPr>
          <w:rFonts w:eastAsia="Times New Roman" w:cstheme="minorHAnsi"/>
          <w:color w:val="3E3E3E"/>
          <w:lang w:eastAsia="hu-HU"/>
        </w:rPr>
        <w:t xml:space="preserve"> folytatásához, így elkerülhető a kórházi fertőződés kockázata</w:t>
      </w:r>
      <w:r w:rsidR="00FE30E9" w:rsidRPr="00BD151C">
        <w:rPr>
          <w:rFonts w:eastAsia="Times New Roman" w:cstheme="minorHAnsi"/>
          <w:color w:val="3E3E3E"/>
          <w:lang w:eastAsia="hu-HU"/>
        </w:rPr>
        <w:t>;</w:t>
      </w:r>
      <w:r w:rsidR="5D67186C" w:rsidRPr="00BD151C">
        <w:rPr>
          <w:rFonts w:eastAsia="Times New Roman" w:cstheme="minorHAnsi"/>
          <w:color w:val="3E3E3E"/>
          <w:lang w:eastAsia="hu-HU"/>
        </w:rPr>
        <w:t xml:space="preserve"> és vélhetően kevésbé befolyásolja a hatékony immunválasz kialakulását a vakcináció után</w:t>
      </w:r>
      <w:r w:rsidR="072338BB" w:rsidRPr="00BD151C">
        <w:rPr>
          <w:rFonts w:eastAsia="Times New Roman" w:cstheme="minorHAnsi"/>
          <w:color w:val="3E3E3E"/>
          <w:lang w:eastAsia="hu-HU"/>
        </w:rPr>
        <w:t>.</w:t>
      </w:r>
    </w:p>
    <w:p w14:paraId="4670AE9B" w14:textId="78EFF697" w:rsidR="06AD3FB3" w:rsidRDefault="06AD3FB3" w:rsidP="005828D7">
      <w:pPr>
        <w:shd w:val="clear" w:color="auto" w:fill="FFFFFF" w:themeFill="background1"/>
        <w:spacing w:line="240" w:lineRule="auto"/>
        <w:jc w:val="both"/>
        <w:rPr>
          <w:rFonts w:eastAsia="Times New Roman" w:cstheme="minorHAnsi"/>
          <w:color w:val="3E3E3E"/>
          <w:lang w:eastAsia="hu-HU"/>
        </w:rPr>
      </w:pPr>
      <w:r w:rsidRPr="00BD151C">
        <w:rPr>
          <w:rFonts w:eastAsia="Times New Roman" w:cstheme="minorHAnsi"/>
          <w:b/>
          <w:bCs/>
          <w:color w:val="3E3E3E"/>
          <w:lang w:eastAsia="hu-HU"/>
        </w:rPr>
        <w:t>Eculizumab</w:t>
      </w:r>
      <w:r w:rsidR="5AB0E2CF" w:rsidRPr="00BD151C">
        <w:rPr>
          <w:rFonts w:eastAsia="Times New Roman" w:cstheme="minorHAnsi"/>
          <w:b/>
          <w:bCs/>
          <w:color w:val="3E3E3E"/>
          <w:lang w:eastAsia="hu-HU"/>
        </w:rPr>
        <w:t xml:space="preserve"> </w:t>
      </w:r>
      <w:r w:rsidR="5AB0E2CF" w:rsidRPr="00BD151C">
        <w:rPr>
          <w:rFonts w:eastAsia="Times New Roman" w:cstheme="minorHAnsi"/>
          <w:color w:val="3E3E3E"/>
          <w:lang w:eastAsia="hu-HU"/>
        </w:rPr>
        <w:t>- complement (C5) gátló monoclonalis ellenanyag, kéthetenkénti intravénás infúzió formájában adagolt kezelés, mely FDA és EMA</w:t>
      </w:r>
      <w:r w:rsidR="5728DA8A" w:rsidRPr="00BD151C">
        <w:rPr>
          <w:rFonts w:eastAsia="Times New Roman" w:cstheme="minorHAnsi"/>
          <w:color w:val="3E3E3E"/>
          <w:lang w:eastAsia="hu-HU"/>
        </w:rPr>
        <w:t xml:space="preserve"> </w:t>
      </w:r>
      <w:r w:rsidR="5AB0E2CF" w:rsidRPr="00BD151C">
        <w:rPr>
          <w:rFonts w:eastAsia="Times New Roman" w:cstheme="minorHAnsi"/>
          <w:color w:val="3E3E3E"/>
          <w:lang w:eastAsia="hu-HU"/>
        </w:rPr>
        <w:t>engedéllyel rendelkezi</w:t>
      </w:r>
      <w:r w:rsidR="4069EBCC" w:rsidRPr="00BD151C">
        <w:rPr>
          <w:rFonts w:eastAsia="Times New Roman" w:cstheme="minorHAnsi"/>
          <w:color w:val="3E3E3E"/>
          <w:lang w:eastAsia="hu-HU"/>
        </w:rPr>
        <w:t>k.</w:t>
      </w:r>
      <w:r w:rsidR="19748DDE" w:rsidRPr="00BD151C">
        <w:rPr>
          <w:rFonts w:eastAsia="Times New Roman" w:cstheme="minorHAnsi"/>
          <w:color w:val="3E3E3E"/>
          <w:lang w:eastAsia="hu-HU"/>
        </w:rPr>
        <w:t xml:space="preserve"> </w:t>
      </w:r>
      <w:r w:rsidR="09FA6ECF" w:rsidRPr="00BD151C">
        <w:rPr>
          <w:rFonts w:eastAsia="Times New Roman" w:cstheme="minorHAnsi"/>
          <w:color w:val="3E3E3E"/>
          <w:lang w:eastAsia="hu-HU"/>
        </w:rPr>
        <w:t>A</w:t>
      </w:r>
      <w:r w:rsidR="519416CE" w:rsidRPr="00BD151C">
        <w:rPr>
          <w:rFonts w:eastAsia="Times New Roman" w:cstheme="minorHAnsi"/>
          <w:color w:val="3E3E3E"/>
          <w:lang w:eastAsia="hu-HU"/>
        </w:rPr>
        <w:t>z eculizumab</w:t>
      </w:r>
      <w:r w:rsidR="386704F4" w:rsidRPr="00BD151C">
        <w:rPr>
          <w:rFonts w:eastAsia="Times New Roman" w:cstheme="minorHAnsi"/>
          <w:color w:val="3E3E3E"/>
          <w:lang w:eastAsia="hu-HU"/>
        </w:rPr>
        <w:t>-</w:t>
      </w:r>
      <w:r w:rsidR="519416CE" w:rsidRPr="00BD151C">
        <w:rPr>
          <w:rFonts w:eastAsia="Times New Roman" w:cstheme="minorHAnsi"/>
          <w:color w:val="3E3E3E"/>
          <w:lang w:eastAsia="hu-HU"/>
        </w:rPr>
        <w:t>kezelt betegeknél a vakcina hat</w:t>
      </w:r>
      <w:r w:rsidR="0DFFC827" w:rsidRPr="00BD151C">
        <w:rPr>
          <w:rFonts w:eastAsia="Times New Roman" w:cstheme="minorHAnsi"/>
          <w:color w:val="3E3E3E"/>
          <w:lang w:eastAsia="hu-HU"/>
        </w:rPr>
        <w:t xml:space="preserve">ékonysága vélhetően a nem kezelt betegekéhez hasonló lesz, így a B-sejt gátló kezelésekkel szemben ez a kezelés </w:t>
      </w:r>
      <w:r w:rsidR="00FE30E9" w:rsidRPr="00BD151C">
        <w:rPr>
          <w:rFonts w:eastAsia="Times New Roman" w:cstheme="minorHAnsi"/>
          <w:color w:val="3E3E3E"/>
          <w:lang w:eastAsia="hu-HU"/>
        </w:rPr>
        <w:t xml:space="preserve">is </w:t>
      </w:r>
      <w:r w:rsidR="0DFFC827" w:rsidRPr="00BD151C">
        <w:rPr>
          <w:rFonts w:eastAsia="Times New Roman" w:cstheme="minorHAnsi"/>
          <w:color w:val="3E3E3E"/>
          <w:lang w:eastAsia="hu-HU"/>
        </w:rPr>
        <w:t xml:space="preserve">preferált </w:t>
      </w:r>
      <w:r w:rsidR="00FE30E9" w:rsidRPr="00BD151C">
        <w:rPr>
          <w:rFonts w:eastAsia="Times New Roman" w:cstheme="minorHAnsi"/>
          <w:color w:val="3E3E3E"/>
          <w:lang w:eastAsia="hu-HU"/>
        </w:rPr>
        <w:t xml:space="preserve">lehet </w:t>
      </w:r>
      <w:r w:rsidR="0DFFC827" w:rsidRPr="00BD151C">
        <w:rPr>
          <w:rFonts w:eastAsia="Times New Roman" w:cstheme="minorHAnsi"/>
          <w:color w:val="3E3E3E"/>
          <w:lang w:eastAsia="hu-HU"/>
        </w:rPr>
        <w:t>a pand</w:t>
      </w:r>
      <w:r w:rsidR="2A2D6BE1" w:rsidRPr="00BD151C">
        <w:rPr>
          <w:rFonts w:eastAsia="Times New Roman" w:cstheme="minorHAnsi"/>
          <w:color w:val="3E3E3E"/>
          <w:lang w:eastAsia="hu-HU"/>
        </w:rPr>
        <w:t>é</w:t>
      </w:r>
      <w:r w:rsidR="0DFFC827" w:rsidRPr="00BD151C">
        <w:rPr>
          <w:rFonts w:eastAsia="Times New Roman" w:cstheme="minorHAnsi"/>
          <w:color w:val="3E3E3E"/>
          <w:lang w:eastAsia="hu-HU"/>
        </w:rPr>
        <w:t xml:space="preserve">mia idején (a gyógyszer ára és a kéthetenkénti intravénás </w:t>
      </w:r>
      <w:r w:rsidR="4738421E" w:rsidRPr="00BD151C">
        <w:rPr>
          <w:rFonts w:eastAsia="Times New Roman" w:cstheme="minorHAnsi"/>
          <w:color w:val="3E3E3E"/>
          <w:lang w:eastAsia="hu-HU"/>
        </w:rPr>
        <w:t>in</w:t>
      </w:r>
      <w:r w:rsidR="0DFFC827" w:rsidRPr="00BD151C">
        <w:rPr>
          <w:rFonts w:eastAsia="Times New Roman" w:cstheme="minorHAnsi"/>
          <w:color w:val="3E3E3E"/>
          <w:lang w:eastAsia="hu-HU"/>
        </w:rPr>
        <w:t>fúziós adagolás</w:t>
      </w:r>
      <w:r w:rsidR="31D98433" w:rsidRPr="00BD151C">
        <w:rPr>
          <w:rFonts w:eastAsia="Times New Roman" w:cstheme="minorHAnsi"/>
          <w:color w:val="3E3E3E"/>
          <w:lang w:eastAsia="hu-HU"/>
        </w:rPr>
        <w:t xml:space="preserve"> limitálja az alkalmazhatóságát).</w:t>
      </w:r>
    </w:p>
    <w:p w14:paraId="28D3F4A5" w14:textId="665D2618" w:rsidR="00396E86" w:rsidRDefault="00396E86" w:rsidP="005828D7">
      <w:pPr>
        <w:shd w:val="clear" w:color="auto" w:fill="FFFFFF" w:themeFill="background1"/>
        <w:spacing w:line="240" w:lineRule="auto"/>
        <w:jc w:val="both"/>
        <w:rPr>
          <w:rFonts w:eastAsia="Times New Roman" w:cstheme="minorHAnsi"/>
          <w:color w:val="3E3E3E"/>
          <w:lang w:eastAsia="hu-HU"/>
        </w:rPr>
      </w:pPr>
    </w:p>
    <w:p w14:paraId="4C09B632" w14:textId="77777777" w:rsidR="00396E86" w:rsidRPr="000F7AA9" w:rsidRDefault="00396E86" w:rsidP="00396E86">
      <w:pPr>
        <w:spacing w:line="240" w:lineRule="auto"/>
        <w:jc w:val="both"/>
        <w:rPr>
          <w:rFonts w:cstheme="minorHAnsi"/>
          <w:b/>
          <w:bCs/>
        </w:rPr>
      </w:pPr>
      <w:r w:rsidRPr="000F7AA9">
        <w:rPr>
          <w:rFonts w:cstheme="minorHAnsi"/>
          <w:b/>
          <w:bCs/>
          <w:highlight w:val="yellow"/>
        </w:rPr>
        <w:t xml:space="preserve">Extra </w:t>
      </w:r>
      <w:r>
        <w:rPr>
          <w:rFonts w:cstheme="minorHAnsi"/>
          <w:b/>
          <w:bCs/>
          <w:highlight w:val="yellow"/>
        </w:rPr>
        <w:t xml:space="preserve">dózis </w:t>
      </w:r>
      <w:r w:rsidRPr="000F7AA9">
        <w:rPr>
          <w:rFonts w:cstheme="minorHAnsi"/>
          <w:b/>
          <w:bCs/>
          <w:highlight w:val="yellow"/>
        </w:rPr>
        <w:t>COVID-19 vakcina adása</w:t>
      </w:r>
    </w:p>
    <w:p w14:paraId="648262B5" w14:textId="77777777" w:rsidR="00396E86" w:rsidRDefault="00396E86" w:rsidP="00396E86">
      <w:pPr>
        <w:spacing w:line="240" w:lineRule="auto"/>
        <w:jc w:val="both"/>
        <w:rPr>
          <w:rFonts w:cstheme="minorHAnsi"/>
          <w:highlight w:val="yellow"/>
        </w:rPr>
      </w:pPr>
      <w:r w:rsidRPr="00C07614">
        <w:rPr>
          <w:rFonts w:cstheme="minorHAnsi"/>
          <w:highlight w:val="yellow"/>
        </w:rPr>
        <w:t>Az EMA 2021. októberben kiadott ajánlása szerint a súlyosan gyengült immunrendszerű betegek esetében mRNS vakcina (Comirnaty, Moderna) extra adagja</w:t>
      </w:r>
      <w:r>
        <w:rPr>
          <w:rFonts w:cstheme="minorHAnsi"/>
          <w:highlight w:val="yellow"/>
        </w:rPr>
        <w:t xml:space="preserve"> (3. oltás)</w:t>
      </w:r>
      <w:r w:rsidRPr="00C07614">
        <w:rPr>
          <w:rFonts w:cstheme="minorHAnsi"/>
          <w:highlight w:val="yellow"/>
        </w:rPr>
        <w:t xml:space="preserve"> adható a 2. </w:t>
      </w:r>
      <w:r>
        <w:rPr>
          <w:rFonts w:cstheme="minorHAnsi"/>
          <w:highlight w:val="yellow"/>
        </w:rPr>
        <w:t>vakcina</w:t>
      </w:r>
      <w:r w:rsidRPr="00C07614">
        <w:rPr>
          <w:rFonts w:cstheme="minorHAnsi"/>
          <w:highlight w:val="yellow"/>
        </w:rPr>
        <w:t>dózis után legalább 28 nappal.</w:t>
      </w:r>
      <w:r>
        <w:rPr>
          <w:rFonts w:cstheme="minorHAnsi"/>
          <w:highlight w:val="yellow"/>
        </w:rPr>
        <w:t xml:space="preserve"> </w:t>
      </w:r>
      <w:r w:rsidRPr="00C07614">
        <w:rPr>
          <w:rFonts w:cstheme="minorHAnsi"/>
          <w:highlight w:val="yellow"/>
        </w:rPr>
        <w:t>Feltételezhető, hogy a gyengült immunrendszerű betegekben</w:t>
      </w:r>
      <w:r>
        <w:rPr>
          <w:rFonts w:cstheme="minorHAnsi"/>
          <w:highlight w:val="yellow"/>
        </w:rPr>
        <w:t xml:space="preserve"> </w:t>
      </w:r>
      <w:r w:rsidRPr="00C07614">
        <w:rPr>
          <w:rFonts w:cstheme="minorHAnsi"/>
          <w:highlight w:val="yellow"/>
        </w:rPr>
        <w:t>az extra vakcinadózis emeli a vírus elleni antitesttermelő képességet</w:t>
      </w:r>
      <w:r>
        <w:rPr>
          <w:rFonts w:cstheme="minorHAnsi"/>
          <w:highlight w:val="yellow"/>
        </w:rPr>
        <w:t>,</w:t>
      </w:r>
      <w:r w:rsidRPr="00C07614">
        <w:rPr>
          <w:rFonts w:cstheme="minorHAnsi"/>
          <w:highlight w:val="yellow"/>
        </w:rPr>
        <w:t xml:space="preserve"> és bár nincs rá direkt bizonyíték, feltételezhető, hogy ez legalább is egyes </w:t>
      </w:r>
      <w:r w:rsidRPr="002F333B">
        <w:rPr>
          <w:rFonts w:cstheme="minorHAnsi"/>
          <w:highlight w:val="yellow"/>
        </w:rPr>
        <w:t>betegek</w:t>
      </w:r>
      <w:r>
        <w:rPr>
          <w:rFonts w:cstheme="minorHAnsi"/>
          <w:highlight w:val="yellow"/>
        </w:rPr>
        <w:t xml:space="preserve"> esetében</w:t>
      </w:r>
      <w:r w:rsidRPr="002F333B">
        <w:rPr>
          <w:rFonts w:cstheme="minorHAnsi"/>
          <w:highlight w:val="yellow"/>
        </w:rPr>
        <w:t xml:space="preserve"> növeli az immunvédelmet.</w:t>
      </w:r>
    </w:p>
    <w:p w14:paraId="7911A2A6" w14:textId="3E364758" w:rsidR="00396E86" w:rsidRPr="00952884" w:rsidRDefault="00396E86" w:rsidP="00396E86">
      <w:pPr>
        <w:spacing w:line="240" w:lineRule="auto"/>
        <w:jc w:val="both"/>
        <w:rPr>
          <w:rFonts w:cstheme="minorHAnsi"/>
          <w:highlight w:val="yellow"/>
        </w:rPr>
      </w:pPr>
      <w:r>
        <w:rPr>
          <w:rFonts w:cstheme="minorHAnsi"/>
          <w:highlight w:val="yellow"/>
        </w:rPr>
        <w:t>A</w:t>
      </w:r>
      <w:r w:rsidRPr="00952884">
        <w:rPr>
          <w:rFonts w:cstheme="minorHAnsi"/>
          <w:highlight w:val="yellow"/>
        </w:rPr>
        <w:t>zoknak a</w:t>
      </w:r>
      <w:r>
        <w:rPr>
          <w:rFonts w:cstheme="minorHAnsi"/>
          <w:highlight w:val="yellow"/>
        </w:rPr>
        <w:t xml:space="preserve"> </w:t>
      </w:r>
      <w:r w:rsidRPr="00952884">
        <w:rPr>
          <w:rFonts w:cstheme="minorHAnsi"/>
          <w:highlight w:val="yellow"/>
        </w:rPr>
        <w:t>betegeknek, akiknél várhatóan nem alakul ki megfelelő immunválasz az első 2 vakcinadózis után</w:t>
      </w:r>
      <w:r>
        <w:rPr>
          <w:rFonts w:cstheme="minorHAnsi"/>
          <w:highlight w:val="yellow"/>
        </w:rPr>
        <w:t xml:space="preserve"> 3.</w:t>
      </w:r>
      <w:r w:rsidRPr="00952884">
        <w:rPr>
          <w:rFonts w:cstheme="minorHAnsi"/>
          <w:highlight w:val="yellow"/>
        </w:rPr>
        <w:t xml:space="preserve"> dózis </w:t>
      </w:r>
      <w:r>
        <w:rPr>
          <w:rFonts w:cstheme="minorHAnsi"/>
          <w:highlight w:val="yellow"/>
        </w:rPr>
        <w:t xml:space="preserve">mRNS </w:t>
      </w:r>
      <w:r w:rsidRPr="00952884">
        <w:rPr>
          <w:rFonts w:cstheme="minorHAnsi"/>
          <w:highlight w:val="yellow"/>
        </w:rPr>
        <w:t xml:space="preserve">COVID-19 vakcina adása javasolt </w:t>
      </w:r>
      <w:r>
        <w:rPr>
          <w:rFonts w:cstheme="minorHAnsi"/>
          <w:highlight w:val="yellow"/>
        </w:rPr>
        <w:t>a 2. oltás után legkorábban 2 hónappal</w:t>
      </w:r>
      <w:r w:rsidRPr="00952884">
        <w:rPr>
          <w:rFonts w:cstheme="minorHAnsi"/>
          <w:highlight w:val="yellow"/>
        </w:rPr>
        <w:t>.</w:t>
      </w:r>
      <w:r>
        <w:rPr>
          <w:rFonts w:cstheme="minorHAnsi"/>
          <w:highlight w:val="yellow"/>
        </w:rPr>
        <w:t xml:space="preserve"> Elsősorba</w:t>
      </w:r>
      <w:r w:rsidR="00D3577F">
        <w:rPr>
          <w:rFonts w:cstheme="minorHAnsi"/>
          <w:highlight w:val="yellow"/>
        </w:rPr>
        <w:t>n a rituximab</w:t>
      </w:r>
      <w:r>
        <w:rPr>
          <w:rFonts w:cstheme="minorHAnsi"/>
          <w:highlight w:val="yellow"/>
        </w:rPr>
        <w:t>, azatioprin, IL6 receptor gátló</w:t>
      </w:r>
      <w:r w:rsidR="002A72A6">
        <w:rPr>
          <w:rFonts w:cstheme="minorHAnsi"/>
          <w:highlight w:val="yellow"/>
        </w:rPr>
        <w:t>, és a krónikus szteroid</w:t>
      </w:r>
      <w:r>
        <w:rPr>
          <w:rFonts w:cstheme="minorHAnsi"/>
          <w:highlight w:val="yellow"/>
        </w:rPr>
        <w:t xml:space="preserve"> kezelés alatt álló betegek profitálhatnak kiegészítő vakcinadózis beadásából.</w:t>
      </w:r>
    </w:p>
    <w:p w14:paraId="3499C5E6" w14:textId="77777777" w:rsidR="00396E86" w:rsidRDefault="00396E86" w:rsidP="00396E86">
      <w:pPr>
        <w:spacing w:line="240" w:lineRule="auto"/>
        <w:jc w:val="both"/>
        <w:rPr>
          <w:rFonts w:cstheme="minorHAnsi"/>
          <w:highlight w:val="yellow"/>
        </w:rPr>
      </w:pPr>
      <w:r>
        <w:rPr>
          <w:rFonts w:cstheme="minorHAnsi"/>
          <w:highlight w:val="yellow"/>
        </w:rPr>
        <w:t>Rituximab kezelés esetén a 3. oltás bedása a következő tervezett rituximab dózis előtt 2-4 héttel javasolt (6 havonta adott kezelés esetén az 5. vagy 5,5. hónapnál).</w:t>
      </w:r>
    </w:p>
    <w:p w14:paraId="749C6029" w14:textId="2B9F78DA" w:rsidR="5EAA94C7" w:rsidRPr="00BD151C" w:rsidRDefault="5EAA94C7" w:rsidP="005828D7">
      <w:pPr>
        <w:shd w:val="clear" w:color="auto" w:fill="FFFFFF" w:themeFill="background1"/>
        <w:spacing w:line="240" w:lineRule="auto"/>
        <w:jc w:val="both"/>
        <w:rPr>
          <w:rFonts w:eastAsia="Times New Roman" w:cstheme="minorHAnsi"/>
          <w:color w:val="3E3E3E"/>
          <w:lang w:eastAsia="hu-HU"/>
        </w:rPr>
      </w:pPr>
    </w:p>
    <w:p w14:paraId="1CD27F4E" w14:textId="38C26616" w:rsidR="00801899" w:rsidRPr="00BD151C" w:rsidRDefault="00801899" w:rsidP="005828D7">
      <w:pPr>
        <w:spacing w:line="240" w:lineRule="auto"/>
        <w:jc w:val="both"/>
        <w:rPr>
          <w:rFonts w:cstheme="minorHAnsi"/>
          <w:b/>
          <w:bCs/>
        </w:rPr>
      </w:pPr>
      <w:r w:rsidRPr="00BD151C">
        <w:rPr>
          <w:rFonts w:cstheme="minorHAnsi"/>
          <w:b/>
          <w:bCs/>
        </w:rPr>
        <w:t>Myasthenia gravis (MG)</w:t>
      </w:r>
    </w:p>
    <w:p w14:paraId="196532D7" w14:textId="704701AB" w:rsidR="00B201FF" w:rsidRPr="00BD151C" w:rsidRDefault="00B201FF" w:rsidP="005828D7">
      <w:pPr>
        <w:spacing w:line="240" w:lineRule="auto"/>
        <w:jc w:val="both"/>
        <w:rPr>
          <w:rFonts w:cstheme="minorHAnsi"/>
        </w:rPr>
      </w:pPr>
      <w:r w:rsidRPr="00BD151C">
        <w:rPr>
          <w:rFonts w:cstheme="minorHAnsi"/>
        </w:rPr>
        <w:t xml:space="preserve">Generalizált myasthenia gravisban </w:t>
      </w:r>
      <w:r w:rsidR="00EC220D" w:rsidRPr="00BD151C">
        <w:rPr>
          <w:rFonts w:cstheme="minorHAnsi"/>
        </w:rPr>
        <w:t xml:space="preserve">a </w:t>
      </w:r>
      <w:r w:rsidRPr="00BD151C">
        <w:rPr>
          <w:rFonts w:cstheme="minorHAnsi"/>
        </w:rPr>
        <w:t>légúti infekciók potenciális</w:t>
      </w:r>
      <w:r w:rsidR="00040E36" w:rsidRPr="00BD151C">
        <w:rPr>
          <w:rFonts w:cstheme="minorHAnsi"/>
        </w:rPr>
        <w:t>an</w:t>
      </w:r>
      <w:r w:rsidRPr="00BD151C">
        <w:rPr>
          <w:rFonts w:cstheme="minorHAnsi"/>
        </w:rPr>
        <w:t xml:space="preserve"> myastheniás krízis</w:t>
      </w:r>
      <w:r w:rsidR="004F187A" w:rsidRPr="00BD151C">
        <w:rPr>
          <w:rFonts w:cstheme="minorHAnsi"/>
        </w:rPr>
        <w:t xml:space="preserve">t </w:t>
      </w:r>
      <w:r w:rsidR="00040E36" w:rsidRPr="00BD151C">
        <w:rPr>
          <w:rFonts w:cstheme="minorHAnsi"/>
        </w:rPr>
        <w:t>provokálhatnak</w:t>
      </w:r>
      <w:r w:rsidR="004F187A" w:rsidRPr="00BD151C">
        <w:rPr>
          <w:rFonts w:cstheme="minorHAnsi"/>
        </w:rPr>
        <w:t>. Ebből adódóan a COVID-19 fertőzés</w:t>
      </w:r>
      <w:r w:rsidR="00AF1C36" w:rsidRPr="00BD151C">
        <w:rPr>
          <w:rFonts w:cstheme="minorHAnsi"/>
        </w:rPr>
        <w:t xml:space="preserve"> kivédése</w:t>
      </w:r>
      <w:r w:rsidR="004F187A" w:rsidRPr="00BD151C">
        <w:rPr>
          <w:rFonts w:cstheme="minorHAnsi"/>
        </w:rPr>
        <w:t xml:space="preserve"> a myastheniás betegek es</w:t>
      </w:r>
      <w:r w:rsidR="00AF1C36" w:rsidRPr="00BD151C">
        <w:rPr>
          <w:rFonts w:cstheme="minorHAnsi"/>
        </w:rPr>
        <w:t>etében kiemelt</w:t>
      </w:r>
      <w:r w:rsidR="0FC545AD" w:rsidRPr="00BD151C">
        <w:rPr>
          <w:rFonts w:cstheme="minorHAnsi"/>
        </w:rPr>
        <w:t>en fontos</w:t>
      </w:r>
      <w:r w:rsidR="00AF1C36" w:rsidRPr="00BD151C">
        <w:rPr>
          <w:rFonts w:cstheme="minorHAnsi"/>
        </w:rPr>
        <w:t>.</w:t>
      </w:r>
    </w:p>
    <w:p w14:paraId="19B34FCD" w14:textId="065A8FE8" w:rsidR="00F756DD" w:rsidRPr="00BD151C" w:rsidRDefault="00F756DD" w:rsidP="005828D7">
      <w:pPr>
        <w:spacing w:line="240" w:lineRule="auto"/>
        <w:jc w:val="both"/>
        <w:rPr>
          <w:rFonts w:cstheme="minorHAnsi"/>
        </w:rPr>
      </w:pPr>
      <w:r w:rsidRPr="00BD151C">
        <w:rPr>
          <w:rFonts w:cstheme="minorHAnsi"/>
        </w:rPr>
        <w:t>Klinikai vizsgálatokból származó adatok hiányában a vakcinák hatásosságára és biztonságosságára myasthenia gravis betegséggel élő</w:t>
      </w:r>
      <w:r w:rsidR="4D9ED882" w:rsidRPr="00BD151C">
        <w:rPr>
          <w:rFonts w:cstheme="minorHAnsi"/>
        </w:rPr>
        <w:t>k</w:t>
      </w:r>
      <w:r w:rsidRPr="00BD151C">
        <w:rPr>
          <w:rFonts w:cstheme="minorHAnsi"/>
        </w:rPr>
        <w:t xml:space="preserve"> esetében </w:t>
      </w:r>
      <w:r w:rsidR="00B201FF" w:rsidRPr="00BD151C">
        <w:rPr>
          <w:rFonts w:cstheme="minorHAnsi"/>
        </w:rPr>
        <w:t xml:space="preserve">is </w:t>
      </w:r>
      <w:r w:rsidRPr="00BD151C">
        <w:rPr>
          <w:rFonts w:cstheme="minorHAnsi"/>
        </w:rPr>
        <w:t>csak a vakcina hatásmechanizmusa, és a korábban beadott egyéb vakcinák (például influenza) hatásai alapján lehet következtetni.</w:t>
      </w:r>
      <w:r w:rsidR="002B73E0" w:rsidRPr="00BD151C">
        <w:rPr>
          <w:rFonts w:cstheme="minorHAnsi"/>
        </w:rPr>
        <w:t xml:space="preserve"> </w:t>
      </w:r>
      <w:r w:rsidR="00A0392E" w:rsidRPr="00BD151C">
        <w:rPr>
          <w:rFonts w:cstheme="minorHAnsi"/>
        </w:rPr>
        <w:t xml:space="preserve">Ezek alapján a </w:t>
      </w:r>
      <w:r w:rsidR="009A73BF" w:rsidRPr="00BD151C">
        <w:rPr>
          <w:rFonts w:cstheme="minorHAnsi"/>
          <w:spacing w:val="-5"/>
        </w:rPr>
        <w:t xml:space="preserve">jelenleg elérhető </w:t>
      </w:r>
      <w:r w:rsidRPr="00BD151C">
        <w:rPr>
          <w:rFonts w:cstheme="minorHAnsi"/>
          <w:spacing w:val="-5"/>
        </w:rPr>
        <w:t>vakcin</w:t>
      </w:r>
      <w:r w:rsidR="009A73BF" w:rsidRPr="00BD151C">
        <w:rPr>
          <w:rFonts w:cstheme="minorHAnsi"/>
          <w:spacing w:val="-5"/>
        </w:rPr>
        <w:t>ák</w:t>
      </w:r>
      <w:r w:rsidRPr="00BD151C">
        <w:rPr>
          <w:rFonts w:cstheme="minorHAnsi"/>
          <w:spacing w:val="-5"/>
        </w:rPr>
        <w:t xml:space="preserve"> a myasthenia gravis tüneteit </w:t>
      </w:r>
      <w:r w:rsidR="00A0392E" w:rsidRPr="00BD151C">
        <w:rPr>
          <w:rFonts w:cstheme="minorHAnsi"/>
          <w:spacing w:val="-5"/>
        </w:rPr>
        <w:t xml:space="preserve">nagy valószínűséggel </w:t>
      </w:r>
      <w:r w:rsidRPr="00BD151C">
        <w:rPr>
          <w:rFonts w:cstheme="minorHAnsi"/>
          <w:spacing w:val="-5"/>
        </w:rPr>
        <w:t xml:space="preserve">nem </w:t>
      </w:r>
      <w:r w:rsidR="0C3AFAB3" w:rsidRPr="00BD151C">
        <w:rPr>
          <w:rFonts w:cstheme="minorHAnsi"/>
          <w:spacing w:val="-5"/>
        </w:rPr>
        <w:t>súlyosbít</w:t>
      </w:r>
      <w:r w:rsidR="009D11B8" w:rsidRPr="00BD151C">
        <w:rPr>
          <w:rFonts w:cstheme="minorHAnsi"/>
          <w:spacing w:val="-5"/>
        </w:rPr>
        <w:t>ják,</w:t>
      </w:r>
      <w:r w:rsidRPr="00BD151C">
        <w:rPr>
          <w:rFonts w:cstheme="minorHAnsi"/>
          <w:spacing w:val="-5"/>
        </w:rPr>
        <w:t xml:space="preserve"> nem provokál</w:t>
      </w:r>
      <w:r w:rsidR="005F1AB5" w:rsidRPr="00BD151C">
        <w:rPr>
          <w:rFonts w:cstheme="minorHAnsi"/>
          <w:spacing w:val="-5"/>
        </w:rPr>
        <w:t>nak</w:t>
      </w:r>
      <w:r w:rsidRPr="00BD151C">
        <w:rPr>
          <w:rFonts w:cstheme="minorHAnsi"/>
          <w:spacing w:val="-5"/>
        </w:rPr>
        <w:t xml:space="preserve"> krízist</w:t>
      </w:r>
      <w:r w:rsidR="009D11B8" w:rsidRPr="00BD151C">
        <w:rPr>
          <w:rFonts w:cstheme="minorHAnsi"/>
          <w:spacing w:val="-5"/>
        </w:rPr>
        <w:t>,</w:t>
      </w:r>
      <w:r w:rsidRPr="00BD151C">
        <w:rPr>
          <w:rFonts w:cstheme="minorHAnsi"/>
          <w:spacing w:val="-5"/>
        </w:rPr>
        <w:t xml:space="preserve"> és nem befolyásolj</w:t>
      </w:r>
      <w:r w:rsidR="005F1AB5" w:rsidRPr="00BD151C">
        <w:rPr>
          <w:rFonts w:cstheme="minorHAnsi"/>
          <w:spacing w:val="-5"/>
        </w:rPr>
        <w:t>ák</w:t>
      </w:r>
      <w:r w:rsidRPr="00BD151C">
        <w:rPr>
          <w:rFonts w:cstheme="minorHAnsi"/>
          <w:spacing w:val="-5"/>
        </w:rPr>
        <w:t xml:space="preserve"> az alkalmazott betegségmódosító terápia hatásosságát. </w:t>
      </w:r>
    </w:p>
    <w:p w14:paraId="0F091B35" w14:textId="2AF5602D" w:rsidR="00F756DD" w:rsidRPr="00C80BD3" w:rsidRDefault="002B5370" w:rsidP="005828D7">
      <w:pPr>
        <w:shd w:val="clear" w:color="auto" w:fill="FFFFFF" w:themeFill="background1"/>
        <w:spacing w:before="100" w:beforeAutospacing="1" w:after="100" w:afterAutospacing="1" w:line="240" w:lineRule="auto"/>
        <w:jc w:val="both"/>
        <w:rPr>
          <w:rFonts w:eastAsia="Times New Roman" w:cstheme="minorHAnsi"/>
          <w:color w:val="3E3E3E"/>
          <w:lang w:eastAsia="hu-HU"/>
        </w:rPr>
      </w:pPr>
      <w:r w:rsidRPr="00C80BD3">
        <w:rPr>
          <w:rFonts w:eastAsia="Times New Roman" w:cstheme="minorHAnsi"/>
          <w:lang w:eastAsia="hu-HU"/>
        </w:rPr>
        <w:lastRenderedPageBreak/>
        <w:t xml:space="preserve">Szem előtt kell </w:t>
      </w:r>
      <w:r w:rsidRPr="00C80BD3">
        <w:rPr>
          <w:rFonts w:eastAsia="Times New Roman" w:cstheme="minorHAnsi"/>
          <w:color w:val="3E3E3E"/>
          <w:lang w:eastAsia="hu-HU"/>
        </w:rPr>
        <w:t>tartani, hogy a</w:t>
      </w:r>
      <w:r w:rsidR="00F756DD" w:rsidRPr="00C80BD3">
        <w:rPr>
          <w:rFonts w:eastAsia="Times New Roman" w:cstheme="minorHAnsi"/>
          <w:color w:val="3E3E3E"/>
          <w:lang w:eastAsia="hu-HU"/>
        </w:rPr>
        <w:t xml:space="preserve"> folyamatos, szájon át alkalmazott szteroid terápiát kapó betegeknél a vakcin</w:t>
      </w:r>
      <w:r w:rsidRPr="00C80BD3">
        <w:rPr>
          <w:rFonts w:eastAsia="Times New Roman" w:cstheme="minorHAnsi"/>
          <w:color w:val="3E3E3E"/>
          <w:lang w:eastAsia="hu-HU"/>
        </w:rPr>
        <w:t>a</w:t>
      </w:r>
      <w:r w:rsidR="00F756DD" w:rsidRPr="00C80BD3">
        <w:rPr>
          <w:rFonts w:eastAsia="Times New Roman" w:cstheme="minorHAnsi"/>
          <w:color w:val="3E3E3E"/>
          <w:lang w:eastAsia="hu-HU"/>
        </w:rPr>
        <w:t xml:space="preserve"> védő hatása csökken</w:t>
      </w:r>
      <w:r w:rsidRPr="00C80BD3">
        <w:rPr>
          <w:rFonts w:eastAsia="Times New Roman" w:cstheme="minorHAnsi"/>
          <w:color w:val="3E3E3E"/>
          <w:lang w:eastAsia="hu-HU"/>
        </w:rPr>
        <w:t>t lehet</w:t>
      </w:r>
      <w:r w:rsidR="00DB552B" w:rsidRPr="00C80BD3">
        <w:rPr>
          <w:rFonts w:eastAsia="Times New Roman" w:cstheme="minorHAnsi"/>
          <w:color w:val="3E3E3E"/>
          <w:lang w:eastAsia="hu-HU"/>
        </w:rPr>
        <w:t>, de ennek ellenére a vakcina beadható</w:t>
      </w:r>
      <w:r w:rsidR="00F756DD" w:rsidRPr="00C80BD3">
        <w:rPr>
          <w:rFonts w:eastAsia="Times New Roman" w:cstheme="minorHAnsi"/>
          <w:color w:val="3E3E3E"/>
          <w:lang w:eastAsia="hu-HU"/>
        </w:rPr>
        <w:t xml:space="preserve">. </w:t>
      </w:r>
    </w:p>
    <w:p w14:paraId="05DCCAC9" w14:textId="0A7E6BB2" w:rsidR="00255943" w:rsidRPr="00BD151C" w:rsidRDefault="00255943" w:rsidP="005828D7">
      <w:pPr>
        <w:shd w:val="clear" w:color="auto" w:fill="FFFFFF" w:themeFill="background1"/>
        <w:spacing w:before="100" w:beforeAutospacing="1" w:after="100" w:afterAutospacing="1" w:line="240" w:lineRule="auto"/>
        <w:jc w:val="both"/>
        <w:rPr>
          <w:rFonts w:cstheme="minorHAnsi"/>
          <w:color w:val="555555"/>
          <w:shd w:val="clear" w:color="auto" w:fill="FFFFFF"/>
        </w:rPr>
      </w:pPr>
      <w:r w:rsidRPr="00C80BD3">
        <w:rPr>
          <w:rFonts w:eastAsia="Times New Roman" w:cstheme="minorHAnsi"/>
          <w:color w:val="3E3E3E"/>
          <w:lang w:eastAsia="hu-HU"/>
        </w:rPr>
        <w:t>Fontos kiemelni, hogy a kínai Sinopharm vakcina alkalmazása szigorúan tilos abban az esetben, ha a myasthenia betegség nincs megfelelően egyensúlyban, vagy a közelmúltban a betegség akut fellángolása zajlott.</w:t>
      </w:r>
      <w:r>
        <w:rPr>
          <w:rFonts w:eastAsia="Times New Roman" w:cstheme="minorHAnsi"/>
          <w:color w:val="3E3E3E"/>
          <w:lang w:eastAsia="hu-HU"/>
        </w:rPr>
        <w:t xml:space="preserve"> </w:t>
      </w:r>
    </w:p>
    <w:p w14:paraId="1E43CC99" w14:textId="3AE4A9CA" w:rsidR="00E10331" w:rsidRPr="00BD151C" w:rsidRDefault="00F756DD" w:rsidP="005828D7">
      <w:pPr>
        <w:shd w:val="clear" w:color="auto" w:fill="FFFFFF" w:themeFill="background1"/>
        <w:spacing w:before="100" w:beforeAutospacing="1" w:after="100" w:afterAutospacing="1" w:line="240" w:lineRule="auto"/>
        <w:jc w:val="both"/>
        <w:rPr>
          <w:rFonts w:eastAsia="Times New Roman" w:cstheme="minorHAnsi"/>
          <w:color w:val="3E3E3E"/>
          <w:lang w:eastAsia="hu-HU"/>
        </w:rPr>
      </w:pPr>
      <w:r w:rsidRPr="00BD151C">
        <w:rPr>
          <w:rFonts w:cstheme="minorHAnsi"/>
          <w:b/>
          <w:bCs/>
          <w:color w:val="555555"/>
          <w:shd w:val="clear" w:color="auto" w:fill="FFFFFF"/>
        </w:rPr>
        <w:t>A</w:t>
      </w:r>
      <w:r w:rsidRPr="00BD151C">
        <w:rPr>
          <w:rFonts w:eastAsia="Times New Roman" w:cstheme="minorHAnsi"/>
          <w:b/>
          <w:bCs/>
          <w:color w:val="3E3E3E"/>
          <w:lang w:eastAsia="hu-HU"/>
        </w:rPr>
        <w:t>zatioprint, m</w:t>
      </w:r>
      <w:r w:rsidR="00D434FA" w:rsidRPr="00BD151C">
        <w:rPr>
          <w:rFonts w:eastAsia="Times New Roman" w:cstheme="minorHAnsi"/>
          <w:b/>
          <w:bCs/>
          <w:color w:val="3E3E3E"/>
          <w:lang w:eastAsia="hu-HU"/>
        </w:rPr>
        <w:t>ik</w:t>
      </w:r>
      <w:r w:rsidRPr="00BD151C">
        <w:rPr>
          <w:rFonts w:eastAsia="Times New Roman" w:cstheme="minorHAnsi"/>
          <w:b/>
          <w:bCs/>
          <w:color w:val="3E3E3E"/>
          <w:lang w:eastAsia="hu-HU"/>
        </w:rPr>
        <w:t>ophenol</w:t>
      </w:r>
      <w:r w:rsidR="00D434FA" w:rsidRPr="00BD151C">
        <w:rPr>
          <w:rFonts w:eastAsia="Times New Roman" w:cstheme="minorHAnsi"/>
          <w:b/>
          <w:bCs/>
          <w:color w:val="3E3E3E"/>
          <w:lang w:eastAsia="hu-HU"/>
        </w:rPr>
        <w:t>á</w:t>
      </w:r>
      <w:r w:rsidRPr="00BD151C">
        <w:rPr>
          <w:rFonts w:eastAsia="Times New Roman" w:cstheme="minorHAnsi"/>
          <w:b/>
          <w:bCs/>
          <w:color w:val="3E3E3E"/>
          <w:lang w:eastAsia="hu-HU"/>
        </w:rPr>
        <w:t>te</w:t>
      </w:r>
      <w:r w:rsidR="00D434FA" w:rsidRPr="00BD151C">
        <w:rPr>
          <w:rFonts w:eastAsia="Times New Roman" w:cstheme="minorHAnsi"/>
          <w:b/>
          <w:bCs/>
          <w:color w:val="3E3E3E"/>
          <w:lang w:eastAsia="hu-HU"/>
        </w:rPr>
        <w:t>-</w:t>
      </w:r>
      <w:r w:rsidRPr="00BD151C">
        <w:rPr>
          <w:rFonts w:eastAsia="Times New Roman" w:cstheme="minorHAnsi"/>
          <w:b/>
          <w:bCs/>
          <w:color w:val="3E3E3E"/>
          <w:lang w:eastAsia="hu-HU"/>
        </w:rPr>
        <w:t xml:space="preserve">mofetilt, </w:t>
      </w:r>
      <w:r w:rsidR="00165D53" w:rsidRPr="00BD151C">
        <w:rPr>
          <w:rFonts w:eastAsia="Times New Roman" w:cstheme="minorHAnsi"/>
          <w:b/>
          <w:bCs/>
          <w:color w:val="3E3E3E"/>
          <w:lang w:eastAsia="hu-HU"/>
        </w:rPr>
        <w:t>ci</w:t>
      </w:r>
      <w:r w:rsidR="00D434FA" w:rsidRPr="00BD151C">
        <w:rPr>
          <w:rFonts w:eastAsia="Times New Roman" w:cstheme="minorHAnsi"/>
          <w:b/>
          <w:bCs/>
          <w:color w:val="3E3E3E"/>
          <w:lang w:eastAsia="hu-HU"/>
        </w:rPr>
        <w:t>k</w:t>
      </w:r>
      <w:r w:rsidR="00165D53" w:rsidRPr="00BD151C">
        <w:rPr>
          <w:rFonts w:eastAsia="Times New Roman" w:cstheme="minorHAnsi"/>
          <w:b/>
          <w:bCs/>
          <w:color w:val="3E3E3E"/>
          <w:lang w:eastAsia="hu-HU"/>
        </w:rPr>
        <w:t>losporint</w:t>
      </w:r>
      <w:r w:rsidRPr="00BD151C">
        <w:rPr>
          <w:rFonts w:eastAsia="Times New Roman" w:cstheme="minorHAnsi"/>
          <w:color w:val="3E3E3E"/>
          <w:lang w:eastAsia="hu-HU"/>
        </w:rPr>
        <w:t xml:space="preserve"> kapó betegeknél </w:t>
      </w:r>
      <w:r w:rsidR="004D41F2" w:rsidRPr="00BD151C">
        <w:rPr>
          <w:rFonts w:eastAsia="Times New Roman" w:cstheme="minorHAnsi"/>
          <w:color w:val="3E3E3E"/>
          <w:lang w:eastAsia="hu-HU"/>
        </w:rPr>
        <w:t xml:space="preserve">elvileg </w:t>
      </w:r>
      <w:r w:rsidR="001B2BA9" w:rsidRPr="00BD151C">
        <w:rPr>
          <w:rFonts w:eastAsia="Times New Roman" w:cstheme="minorHAnsi"/>
          <w:color w:val="3E3E3E"/>
          <w:lang w:eastAsia="hu-HU"/>
        </w:rPr>
        <w:t>ugyancsak számíthatunk</w:t>
      </w:r>
      <w:r w:rsidRPr="00BD151C">
        <w:rPr>
          <w:rFonts w:eastAsia="Times New Roman" w:cstheme="minorHAnsi"/>
          <w:color w:val="3E3E3E"/>
          <w:lang w:eastAsia="hu-HU"/>
        </w:rPr>
        <w:t xml:space="preserve"> csökkent védőhatás</w:t>
      </w:r>
      <w:r w:rsidR="0086285A" w:rsidRPr="00BD151C">
        <w:rPr>
          <w:rFonts w:eastAsia="Times New Roman" w:cstheme="minorHAnsi"/>
          <w:color w:val="3E3E3E"/>
          <w:lang w:eastAsia="hu-HU"/>
        </w:rPr>
        <w:t>ra</w:t>
      </w:r>
      <w:r w:rsidRPr="00BD151C">
        <w:rPr>
          <w:rFonts w:eastAsia="Times New Roman" w:cstheme="minorHAnsi"/>
          <w:color w:val="3E3E3E"/>
          <w:lang w:eastAsia="hu-HU"/>
        </w:rPr>
        <w:t>.</w:t>
      </w:r>
      <w:r w:rsidR="00351FC1" w:rsidRPr="00BD151C">
        <w:rPr>
          <w:rFonts w:eastAsia="Times New Roman" w:cstheme="minorHAnsi"/>
          <w:color w:val="3E3E3E"/>
          <w:lang w:eastAsia="hu-HU"/>
        </w:rPr>
        <w:t xml:space="preserve"> Kiemelten igaz ez a rituximab kezelés alatt álló betegekre</w:t>
      </w:r>
      <w:r w:rsidR="00886507" w:rsidRPr="00BD151C">
        <w:rPr>
          <w:rFonts w:eastAsia="Times New Roman" w:cstheme="minorHAnsi"/>
          <w:color w:val="3E3E3E"/>
          <w:lang w:eastAsia="hu-HU"/>
        </w:rPr>
        <w:t xml:space="preserve"> (lásd feljebb, az NMOSD releváns részében)</w:t>
      </w:r>
      <w:r w:rsidR="00351FC1" w:rsidRPr="00BD151C">
        <w:rPr>
          <w:rFonts w:eastAsia="Times New Roman" w:cstheme="minorHAnsi"/>
          <w:color w:val="3E3E3E"/>
          <w:lang w:eastAsia="hu-HU"/>
        </w:rPr>
        <w:t>.</w:t>
      </w:r>
      <w:r w:rsidR="00132B37" w:rsidRPr="00BD151C">
        <w:rPr>
          <w:rFonts w:eastAsia="Times New Roman" w:cstheme="minorHAnsi"/>
          <w:color w:val="3E3E3E"/>
          <w:lang w:eastAsia="hu-HU"/>
        </w:rPr>
        <w:t xml:space="preserve"> A</w:t>
      </w:r>
      <w:r w:rsidRPr="00BD151C">
        <w:rPr>
          <w:rFonts w:eastAsia="Times New Roman" w:cstheme="minorHAnsi"/>
          <w:color w:val="3E3E3E"/>
          <w:lang w:eastAsia="hu-HU"/>
        </w:rPr>
        <w:t xml:space="preserve"> COVID-19 okozta </w:t>
      </w:r>
      <w:r w:rsidR="0086285A" w:rsidRPr="00BD151C">
        <w:rPr>
          <w:rFonts w:eastAsia="Times New Roman" w:cstheme="minorHAnsi"/>
          <w:color w:val="3E3E3E"/>
          <w:lang w:eastAsia="hu-HU"/>
        </w:rPr>
        <w:t xml:space="preserve">potenciális </w:t>
      </w:r>
      <w:r w:rsidRPr="00BD151C">
        <w:rPr>
          <w:rFonts w:eastAsia="Times New Roman" w:cstheme="minorHAnsi"/>
          <w:color w:val="3E3E3E"/>
          <w:lang w:eastAsia="hu-HU"/>
        </w:rPr>
        <w:t xml:space="preserve">állapotrosszabbodás miatt ezen betegek részére is </w:t>
      </w:r>
      <w:r w:rsidR="00351FC1" w:rsidRPr="00BD151C">
        <w:rPr>
          <w:rFonts w:eastAsia="Times New Roman" w:cstheme="minorHAnsi"/>
          <w:color w:val="3E3E3E"/>
          <w:lang w:eastAsia="hu-HU"/>
        </w:rPr>
        <w:t>javasolható az oltás, ha rendelkezésre áll elegendő oltóanyag, annak szellemében, hogy</w:t>
      </w:r>
      <w:r w:rsidRPr="00BD151C">
        <w:rPr>
          <w:rFonts w:eastAsia="Times New Roman" w:cstheme="minorHAnsi"/>
          <w:color w:val="3E3E3E"/>
          <w:lang w:eastAsia="hu-HU"/>
        </w:rPr>
        <w:t xml:space="preserve"> a kisebb fokú védettség is jobb a semminél</w:t>
      </w:r>
      <w:r w:rsidR="00E27953" w:rsidRPr="00BD151C">
        <w:rPr>
          <w:rFonts w:eastAsia="Times New Roman" w:cstheme="minorHAnsi"/>
          <w:color w:val="3E3E3E"/>
          <w:lang w:eastAsia="hu-HU"/>
        </w:rPr>
        <w:t>, de kiemelten fontos</w:t>
      </w:r>
      <w:r w:rsidR="00E22C04" w:rsidRPr="00BD151C">
        <w:rPr>
          <w:rFonts w:eastAsia="Times New Roman" w:cstheme="minorHAnsi"/>
          <w:color w:val="3E3E3E"/>
          <w:lang w:eastAsia="hu-HU"/>
        </w:rPr>
        <w:t xml:space="preserve"> </w:t>
      </w:r>
      <w:r w:rsidR="00E27953" w:rsidRPr="00BD151C">
        <w:rPr>
          <w:rFonts w:eastAsia="Times New Roman" w:cstheme="minorHAnsi"/>
          <w:color w:val="3E3E3E"/>
          <w:lang w:eastAsia="hu-HU"/>
        </w:rPr>
        <w:t xml:space="preserve">a védőoltás ellenére a </w:t>
      </w:r>
      <w:r w:rsidR="00507B5E" w:rsidRPr="00BD151C">
        <w:rPr>
          <w:rFonts w:eastAsia="Times New Roman" w:cstheme="minorHAnsi"/>
          <w:color w:val="3E3E3E"/>
          <w:lang w:eastAsia="hu-HU"/>
        </w:rPr>
        <w:t xml:space="preserve">megelőzés </w:t>
      </w:r>
      <w:r w:rsidR="00AE3D7D" w:rsidRPr="00BD151C">
        <w:rPr>
          <w:rFonts w:eastAsia="Times New Roman" w:cstheme="minorHAnsi"/>
          <w:color w:val="3E3E3E"/>
          <w:lang w:eastAsia="hu-HU"/>
        </w:rPr>
        <w:t>szabályainak a betartása (maszk, távolságtartás, kézhigiéne), valamint a fészek védelem – a beteg környezetében élők vakcinációja</w:t>
      </w:r>
      <w:r w:rsidRPr="00BD151C">
        <w:rPr>
          <w:rFonts w:eastAsia="Times New Roman" w:cstheme="minorHAnsi"/>
          <w:color w:val="3E3E3E"/>
          <w:lang w:eastAsia="hu-HU"/>
        </w:rPr>
        <w:t xml:space="preserve">. </w:t>
      </w:r>
    </w:p>
    <w:p w14:paraId="131E5651" w14:textId="6703923D" w:rsidR="00696254" w:rsidRPr="00BD151C" w:rsidRDefault="007246CA" w:rsidP="005828D7">
      <w:pPr>
        <w:shd w:val="clear" w:color="auto" w:fill="FFFFFF" w:themeFill="background1"/>
        <w:spacing w:before="100" w:beforeAutospacing="1" w:after="100" w:afterAutospacing="1" w:line="240" w:lineRule="auto"/>
        <w:jc w:val="both"/>
        <w:rPr>
          <w:rFonts w:eastAsia="Times New Roman" w:cstheme="minorHAnsi"/>
          <w:color w:val="FF0000"/>
          <w:lang w:eastAsia="hu-HU"/>
        </w:rPr>
      </w:pPr>
      <w:r w:rsidRPr="00BD151C">
        <w:rPr>
          <w:rFonts w:eastAsia="Times New Roman" w:cstheme="minorHAnsi"/>
          <w:color w:val="3E3E3E"/>
          <w:lang w:eastAsia="hu-HU"/>
        </w:rPr>
        <w:t>N</w:t>
      </w:r>
      <w:r w:rsidR="004D41F2" w:rsidRPr="00BD151C">
        <w:rPr>
          <w:rFonts w:eastAsia="Times New Roman" w:cstheme="minorHAnsi"/>
          <w:color w:val="3E3E3E"/>
          <w:lang w:eastAsia="hu-HU"/>
        </w:rPr>
        <w:t>incsenek ugyan vizsgálatok arra vonatkozóan, hogy a rituximab beadásának késleltetésével a vakcináció hatékonyabbá tehető</w:t>
      </w:r>
      <w:r w:rsidR="45A7CD46" w:rsidRPr="00BD151C">
        <w:rPr>
          <w:rFonts w:eastAsia="Times New Roman" w:cstheme="minorHAnsi"/>
          <w:color w:val="3E3E3E"/>
          <w:lang w:eastAsia="hu-HU"/>
        </w:rPr>
        <w:t>-e</w:t>
      </w:r>
      <w:r w:rsidR="004D41F2" w:rsidRPr="00BD151C">
        <w:rPr>
          <w:rFonts w:eastAsia="Times New Roman" w:cstheme="minorHAnsi"/>
          <w:color w:val="3E3E3E"/>
          <w:lang w:eastAsia="hu-HU"/>
        </w:rPr>
        <w:t xml:space="preserve">, de </w:t>
      </w:r>
      <w:r w:rsidR="00A179CB" w:rsidRPr="00BD151C">
        <w:rPr>
          <w:rFonts w:eastAsia="Times New Roman" w:cstheme="minorHAnsi"/>
          <w:color w:val="3E3E3E"/>
          <w:lang w:eastAsia="hu-HU"/>
        </w:rPr>
        <w:t>szakértői vélemények szerint</w:t>
      </w:r>
      <w:r w:rsidR="004D41F2" w:rsidRPr="00BD151C">
        <w:rPr>
          <w:rFonts w:eastAsia="Times New Roman" w:cstheme="minorHAnsi"/>
          <w:color w:val="3E3E3E"/>
          <w:lang w:eastAsia="hu-HU"/>
        </w:rPr>
        <w:t xml:space="preserve"> amennyiben a beteg állapota stabil, myastheniája a tartós rituximab</w:t>
      </w:r>
      <w:r w:rsidR="003D2920" w:rsidRPr="00BD151C">
        <w:rPr>
          <w:rFonts w:eastAsia="Times New Roman" w:cstheme="minorHAnsi"/>
          <w:color w:val="3E3E3E"/>
          <w:lang w:eastAsia="hu-HU"/>
        </w:rPr>
        <w:t>-</w:t>
      </w:r>
      <w:r w:rsidR="004D41F2" w:rsidRPr="00BD151C">
        <w:rPr>
          <w:rFonts w:eastAsia="Times New Roman" w:cstheme="minorHAnsi"/>
          <w:color w:val="3E3E3E"/>
          <w:lang w:eastAsia="hu-HU"/>
        </w:rPr>
        <w:t xml:space="preserve">kezelés mellett remisszióban van, </w:t>
      </w:r>
      <w:r w:rsidR="000A4DD0" w:rsidRPr="00BD151C">
        <w:rPr>
          <w:rFonts w:eastAsia="Times New Roman" w:cstheme="minorHAnsi"/>
          <w:color w:val="3E3E3E"/>
          <w:lang w:eastAsia="hu-HU"/>
        </w:rPr>
        <w:t xml:space="preserve">akkor a soron következő infúzió beadását késleltethetjük </w:t>
      </w:r>
      <w:r w:rsidR="00DD332F" w:rsidRPr="00BD151C">
        <w:rPr>
          <w:rFonts w:eastAsia="Times New Roman" w:cstheme="minorHAnsi"/>
          <w:color w:val="3E3E3E"/>
          <w:lang w:eastAsia="hu-HU"/>
        </w:rPr>
        <w:t>addig</w:t>
      </w:r>
      <w:r w:rsidR="000A4DD0" w:rsidRPr="00BD151C">
        <w:rPr>
          <w:rFonts w:eastAsia="Times New Roman" w:cstheme="minorHAnsi"/>
          <w:color w:val="3E3E3E"/>
          <w:lang w:eastAsia="hu-HU"/>
        </w:rPr>
        <w:t>, amíg megkapja a COVID-</w:t>
      </w:r>
      <w:r w:rsidR="003D2920" w:rsidRPr="00BD151C">
        <w:rPr>
          <w:rFonts w:eastAsia="Times New Roman" w:cstheme="minorHAnsi"/>
          <w:color w:val="3E3E3E"/>
          <w:lang w:eastAsia="hu-HU"/>
        </w:rPr>
        <w:t xml:space="preserve">19 </w:t>
      </w:r>
      <w:r w:rsidR="000A4DD0" w:rsidRPr="00BD151C">
        <w:rPr>
          <w:rFonts w:eastAsia="Times New Roman" w:cstheme="minorHAnsi"/>
          <w:color w:val="3E3E3E"/>
          <w:lang w:eastAsia="hu-HU"/>
        </w:rPr>
        <w:t>védőoltást és annak hatása kialakul.</w:t>
      </w:r>
      <w:r w:rsidR="005652E5" w:rsidRPr="00BD151C">
        <w:rPr>
          <w:rFonts w:eastAsia="Times New Roman" w:cstheme="minorHAnsi"/>
          <w:color w:val="3E3E3E"/>
          <w:lang w:eastAsia="hu-HU"/>
        </w:rPr>
        <w:t xml:space="preserve"> </w:t>
      </w:r>
      <w:r w:rsidR="00E8544E" w:rsidRPr="00BD151C">
        <w:rPr>
          <w:rFonts w:eastAsia="Times New Roman" w:cstheme="minorHAnsi"/>
          <w:color w:val="3E3E3E"/>
          <w:lang w:eastAsia="hu-HU"/>
        </w:rPr>
        <w:t>Lehetőség szerint a</w:t>
      </w:r>
      <w:r w:rsidR="005652E5" w:rsidRPr="00BD151C">
        <w:rPr>
          <w:rFonts w:eastAsia="Times New Roman" w:cstheme="minorHAnsi"/>
          <w:color w:val="3E3E3E"/>
          <w:lang w:eastAsia="hu-HU"/>
        </w:rPr>
        <w:t xml:space="preserve"> rituximab</w:t>
      </w:r>
      <w:r w:rsidR="003D2920" w:rsidRPr="00BD151C">
        <w:rPr>
          <w:rFonts w:eastAsia="Times New Roman" w:cstheme="minorHAnsi"/>
          <w:color w:val="3E3E3E"/>
          <w:lang w:eastAsia="hu-HU"/>
        </w:rPr>
        <w:t>-</w:t>
      </w:r>
      <w:r w:rsidR="005652E5" w:rsidRPr="00BD151C">
        <w:rPr>
          <w:rFonts w:eastAsia="Times New Roman" w:cstheme="minorHAnsi"/>
          <w:color w:val="3E3E3E"/>
          <w:lang w:eastAsia="hu-HU"/>
        </w:rPr>
        <w:t>kezelés megkezdés</w:t>
      </w:r>
      <w:r w:rsidR="00696254" w:rsidRPr="00BD151C">
        <w:rPr>
          <w:rFonts w:eastAsia="Times New Roman" w:cstheme="minorHAnsi"/>
          <w:color w:val="3E3E3E"/>
          <w:lang w:eastAsia="hu-HU"/>
        </w:rPr>
        <w:t xml:space="preserve">e előtt </w:t>
      </w:r>
      <w:r w:rsidR="00E8544E" w:rsidRPr="00BD151C">
        <w:rPr>
          <w:rFonts w:eastAsia="Times New Roman" w:cstheme="minorHAnsi"/>
          <w:color w:val="3E3E3E"/>
          <w:lang w:eastAsia="hu-HU"/>
        </w:rPr>
        <w:t xml:space="preserve">kell </w:t>
      </w:r>
      <w:r w:rsidR="00696254" w:rsidRPr="00BD151C">
        <w:rPr>
          <w:rFonts w:eastAsia="Times New Roman" w:cstheme="minorHAnsi"/>
          <w:color w:val="3E3E3E"/>
          <w:lang w:eastAsia="hu-HU"/>
        </w:rPr>
        <w:t>be</w:t>
      </w:r>
      <w:r w:rsidR="00E8544E" w:rsidRPr="00BD151C">
        <w:rPr>
          <w:rFonts w:eastAsia="Times New Roman" w:cstheme="minorHAnsi"/>
          <w:color w:val="3E3E3E"/>
          <w:lang w:eastAsia="hu-HU"/>
        </w:rPr>
        <w:t>adni</w:t>
      </w:r>
      <w:r w:rsidR="00696254" w:rsidRPr="00BD151C">
        <w:rPr>
          <w:rFonts w:eastAsia="Times New Roman" w:cstheme="minorHAnsi"/>
          <w:color w:val="3E3E3E"/>
          <w:lang w:eastAsia="hu-HU"/>
        </w:rPr>
        <w:t xml:space="preserve"> a védőoltást. </w:t>
      </w:r>
      <w:r w:rsidR="00FF1D17" w:rsidRPr="00BD151C">
        <w:rPr>
          <w:rFonts w:eastAsia="Times New Roman" w:cstheme="minorHAnsi"/>
          <w:color w:val="3E3E3E"/>
          <w:lang w:eastAsia="hu-HU"/>
        </w:rPr>
        <w:t>Lásd. még SM kezelés.</w:t>
      </w:r>
    </w:p>
    <w:p w14:paraId="3C7B5E30" w14:textId="1E898980" w:rsidR="006D3C26" w:rsidRPr="00BD151C" w:rsidRDefault="00082D71" w:rsidP="005828D7">
      <w:pPr>
        <w:shd w:val="clear" w:color="auto" w:fill="FFFFFF" w:themeFill="background1"/>
        <w:spacing w:before="100" w:beforeAutospacing="1" w:after="100" w:afterAutospacing="1" w:line="240" w:lineRule="auto"/>
        <w:jc w:val="both"/>
        <w:rPr>
          <w:rFonts w:eastAsia="Times New Roman" w:cstheme="minorHAnsi"/>
          <w:color w:val="FF0000"/>
          <w:lang w:eastAsia="hu-HU"/>
        </w:rPr>
      </w:pPr>
      <w:r w:rsidRPr="00BD151C">
        <w:rPr>
          <w:rFonts w:eastAsia="Times New Roman" w:cstheme="minorHAnsi"/>
          <w:color w:val="3E3E3E"/>
          <w:lang w:eastAsia="hu-HU"/>
        </w:rPr>
        <w:t>Myastheniás relapszus miatt alkalmazott PLEX és/vagy IVIG kezelést lehetőség szerint figyelembe kell venni a védőoltás beadásának időzítésekor</w:t>
      </w:r>
      <w:r w:rsidR="00C948A9" w:rsidRPr="00BD151C">
        <w:rPr>
          <w:rFonts w:eastAsia="Times New Roman" w:cstheme="minorHAnsi"/>
          <w:color w:val="3E3E3E"/>
          <w:lang w:eastAsia="hu-HU"/>
        </w:rPr>
        <w:t xml:space="preserve">, a </w:t>
      </w:r>
      <w:r w:rsidR="00CA5DC8" w:rsidRPr="00BD151C">
        <w:rPr>
          <w:rFonts w:eastAsia="Times New Roman" w:cstheme="minorHAnsi"/>
          <w:color w:val="3E3E3E"/>
          <w:lang w:eastAsia="hu-HU"/>
        </w:rPr>
        <w:t xml:space="preserve">védőoltás hatásának kialakulásáig </w:t>
      </w:r>
      <w:r w:rsidR="00A350C0" w:rsidRPr="00BD151C">
        <w:rPr>
          <w:rFonts w:eastAsia="Times New Roman" w:cstheme="minorHAnsi"/>
          <w:color w:val="3E3E3E"/>
          <w:lang w:eastAsia="hu-HU"/>
        </w:rPr>
        <w:t xml:space="preserve">pedig </w:t>
      </w:r>
      <w:r w:rsidR="00CA5DC8" w:rsidRPr="00BD151C">
        <w:rPr>
          <w:rFonts w:eastAsia="Times New Roman" w:cstheme="minorHAnsi"/>
          <w:color w:val="3E3E3E"/>
          <w:lang w:eastAsia="hu-HU"/>
        </w:rPr>
        <w:t>a PLEX kezelést lehetőség szerint kerülni kell</w:t>
      </w:r>
      <w:r w:rsidR="00A23A7A" w:rsidRPr="00BD151C">
        <w:rPr>
          <w:rFonts w:eastAsia="Times New Roman" w:cstheme="minorHAnsi"/>
          <w:color w:val="3E3E3E"/>
          <w:lang w:eastAsia="hu-HU"/>
        </w:rPr>
        <w:t xml:space="preserve"> és az IVIG-et preferálni.</w:t>
      </w:r>
    </w:p>
    <w:p w14:paraId="46EEFCA0" w14:textId="3B76BBB6" w:rsidR="002B0CCD" w:rsidRPr="00BD151C" w:rsidRDefault="6C100A15" w:rsidP="005828D7">
      <w:pPr>
        <w:shd w:val="clear" w:color="auto" w:fill="FFFFFF" w:themeFill="background1"/>
        <w:spacing w:before="100" w:beforeAutospacing="1" w:after="100" w:afterAutospacing="1" w:line="240" w:lineRule="auto"/>
        <w:jc w:val="both"/>
        <w:rPr>
          <w:rFonts w:eastAsia="Times New Roman" w:cstheme="minorHAnsi"/>
          <w:color w:val="3E3E3E"/>
          <w:lang w:eastAsia="hu-HU"/>
        </w:rPr>
      </w:pPr>
      <w:r w:rsidRPr="00BD151C">
        <w:rPr>
          <w:rFonts w:eastAsia="Times New Roman" w:cstheme="minorHAnsi"/>
          <w:color w:val="3E3E3E"/>
          <w:lang w:eastAsia="hu-HU"/>
        </w:rPr>
        <w:t>Myasthenia gravisban e</w:t>
      </w:r>
      <w:r w:rsidR="002B0CCD" w:rsidRPr="00BD151C">
        <w:rPr>
          <w:rFonts w:eastAsia="Times New Roman" w:cstheme="minorHAnsi"/>
          <w:color w:val="3E3E3E"/>
          <w:lang w:eastAsia="hu-HU"/>
        </w:rPr>
        <w:t xml:space="preserve">gyéb immunszuppresszív/immunmoduláló kezelésekkel </w:t>
      </w:r>
      <w:r w:rsidR="006D3C26" w:rsidRPr="00BD151C">
        <w:rPr>
          <w:rFonts w:eastAsia="Times New Roman" w:cstheme="minorHAnsi"/>
          <w:color w:val="3E3E3E"/>
          <w:lang w:eastAsia="hu-HU"/>
        </w:rPr>
        <w:t xml:space="preserve">(eculizumab, </w:t>
      </w:r>
      <w:proofErr w:type="gramStart"/>
      <w:r w:rsidR="006D3C26" w:rsidRPr="00BD151C">
        <w:rPr>
          <w:rFonts w:eastAsia="Times New Roman" w:cstheme="minorHAnsi"/>
          <w:color w:val="3E3E3E"/>
          <w:lang w:eastAsia="hu-HU"/>
        </w:rPr>
        <w:t>tocilizumab</w:t>
      </w:r>
      <w:r w:rsidR="00D434FA" w:rsidRPr="00BD151C">
        <w:rPr>
          <w:rFonts w:eastAsia="Times New Roman" w:cstheme="minorHAnsi"/>
          <w:color w:val="3E3E3E"/>
          <w:lang w:eastAsia="hu-HU"/>
        </w:rPr>
        <w:t>,</w:t>
      </w:r>
      <w:proofErr w:type="gramEnd"/>
      <w:r w:rsidR="006D3C26" w:rsidRPr="00BD151C">
        <w:rPr>
          <w:rFonts w:eastAsia="Times New Roman" w:cstheme="minorHAnsi"/>
          <w:color w:val="3E3E3E"/>
          <w:lang w:eastAsia="hu-HU"/>
        </w:rPr>
        <w:t xml:space="preserve"> stb.) </w:t>
      </w:r>
      <w:r w:rsidR="002B0CCD" w:rsidRPr="00BD151C">
        <w:rPr>
          <w:rFonts w:eastAsia="Times New Roman" w:cstheme="minorHAnsi"/>
          <w:color w:val="3E3E3E"/>
          <w:lang w:eastAsia="hu-HU"/>
        </w:rPr>
        <w:t xml:space="preserve">hazánkban csak anekdotális </w:t>
      </w:r>
      <w:r w:rsidR="00DD332F" w:rsidRPr="00BD151C">
        <w:rPr>
          <w:rFonts w:eastAsia="Times New Roman" w:cstheme="minorHAnsi"/>
          <w:color w:val="3E3E3E"/>
          <w:lang w:eastAsia="hu-HU"/>
        </w:rPr>
        <w:t xml:space="preserve">közvetett információk </w:t>
      </w:r>
      <w:r w:rsidR="002B0CCD" w:rsidRPr="00BD151C">
        <w:rPr>
          <w:rFonts w:eastAsia="Times New Roman" w:cstheme="minorHAnsi"/>
          <w:color w:val="3E3E3E"/>
          <w:lang w:eastAsia="hu-HU"/>
        </w:rPr>
        <w:t>vannak,</w:t>
      </w:r>
      <w:r w:rsidR="66937C38" w:rsidRPr="00BD151C">
        <w:rPr>
          <w:rFonts w:eastAsia="Times New Roman" w:cstheme="minorHAnsi"/>
          <w:color w:val="3E3E3E"/>
          <w:lang w:eastAsia="hu-HU"/>
        </w:rPr>
        <w:t xml:space="preserve"> mindkét kezelés mellett beadható</w:t>
      </w:r>
      <w:r w:rsidR="6FA9E531" w:rsidRPr="00BD151C">
        <w:rPr>
          <w:rFonts w:eastAsia="Times New Roman" w:cstheme="minorHAnsi"/>
          <w:color w:val="3E3E3E"/>
          <w:lang w:eastAsia="hu-HU"/>
        </w:rPr>
        <w:t>k</w:t>
      </w:r>
      <w:r w:rsidR="66937C38" w:rsidRPr="00BD151C">
        <w:rPr>
          <w:rFonts w:eastAsia="Times New Roman" w:cstheme="minorHAnsi"/>
          <w:color w:val="3E3E3E"/>
          <w:lang w:eastAsia="hu-HU"/>
        </w:rPr>
        <w:t xml:space="preserve"> </w:t>
      </w:r>
      <w:r w:rsidR="00DB4A4A" w:rsidRPr="00BD151C">
        <w:rPr>
          <w:rFonts w:eastAsia="Times New Roman" w:cstheme="minorHAnsi"/>
          <w:color w:val="3E3E3E"/>
          <w:lang w:eastAsia="hu-HU"/>
        </w:rPr>
        <w:t xml:space="preserve">a védőoltások, de a kialakuló immunválasz </w:t>
      </w:r>
      <w:r w:rsidR="00A350C0" w:rsidRPr="00BD151C">
        <w:rPr>
          <w:rFonts w:eastAsia="Times New Roman" w:cstheme="minorHAnsi"/>
          <w:color w:val="3E3E3E"/>
          <w:lang w:eastAsia="hu-HU"/>
        </w:rPr>
        <w:t>hatékonysága nem ismert.</w:t>
      </w:r>
    </w:p>
    <w:p w14:paraId="1BFDC1AA" w14:textId="70032BD0" w:rsidR="000D0B62" w:rsidRPr="00BD151C" w:rsidRDefault="000D0B62" w:rsidP="005828D7">
      <w:pPr>
        <w:shd w:val="clear" w:color="auto" w:fill="FFFFFF" w:themeFill="background1"/>
        <w:spacing w:before="100" w:beforeAutospacing="1" w:after="100" w:afterAutospacing="1" w:line="240" w:lineRule="auto"/>
        <w:jc w:val="both"/>
        <w:rPr>
          <w:rFonts w:eastAsia="Times New Roman" w:cstheme="minorHAnsi"/>
          <w:color w:val="3E3E3E"/>
          <w:lang w:eastAsia="hu-HU"/>
        </w:rPr>
      </w:pPr>
      <w:r w:rsidRPr="00BD151C">
        <w:rPr>
          <w:rFonts w:eastAsia="Times New Roman" w:cstheme="minorHAnsi"/>
          <w:color w:val="3E3E3E"/>
          <w:lang w:eastAsia="hu-HU"/>
        </w:rPr>
        <w:t>A</w:t>
      </w:r>
      <w:r w:rsidR="004817B0" w:rsidRPr="00BD151C">
        <w:rPr>
          <w:rFonts w:eastAsia="Times New Roman" w:cstheme="minorHAnsi"/>
          <w:color w:val="3E3E3E"/>
          <w:lang w:eastAsia="hu-HU"/>
        </w:rPr>
        <w:t>z immunszuppresszív/immunmoduláló kezelésben részesülő myastheniás betegek védőoltásának beadását, annak időzítését egyéni döntések alapján</w:t>
      </w:r>
      <w:r w:rsidR="00DD332F" w:rsidRPr="00BD151C">
        <w:rPr>
          <w:rFonts w:eastAsia="Times New Roman" w:cstheme="minorHAnsi"/>
          <w:color w:val="3E3E3E"/>
          <w:lang w:eastAsia="hu-HU"/>
        </w:rPr>
        <w:t xml:space="preserve"> </w:t>
      </w:r>
      <w:r w:rsidR="00413FA0" w:rsidRPr="00BD151C">
        <w:rPr>
          <w:rFonts w:eastAsia="Times New Roman" w:cstheme="minorHAnsi"/>
          <w:color w:val="3E3E3E"/>
          <w:lang w:eastAsia="hu-HU"/>
        </w:rPr>
        <w:t>myasthenia centrum és oltóközpont szakemberének bevonásával</w:t>
      </w:r>
      <w:r w:rsidR="006810D7" w:rsidRPr="00BD151C">
        <w:rPr>
          <w:rFonts w:eastAsia="Times New Roman" w:cstheme="minorHAnsi"/>
          <w:color w:val="3E3E3E"/>
          <w:lang w:eastAsia="hu-HU"/>
        </w:rPr>
        <w:t xml:space="preserve"> javasolt elvégezni.</w:t>
      </w:r>
    </w:p>
    <w:p w14:paraId="14D32C31" w14:textId="73503902" w:rsidR="00801899" w:rsidRDefault="00801899" w:rsidP="005828D7">
      <w:pPr>
        <w:spacing w:line="240" w:lineRule="auto"/>
        <w:jc w:val="both"/>
        <w:rPr>
          <w:rFonts w:cstheme="minorHAnsi"/>
        </w:rPr>
      </w:pPr>
    </w:p>
    <w:p w14:paraId="32D4DF6B" w14:textId="77777777" w:rsidR="00396E86" w:rsidRPr="000F7AA9" w:rsidRDefault="00396E86" w:rsidP="00396E86">
      <w:pPr>
        <w:spacing w:line="240" w:lineRule="auto"/>
        <w:jc w:val="both"/>
        <w:rPr>
          <w:rFonts w:cstheme="minorHAnsi"/>
          <w:b/>
          <w:bCs/>
        </w:rPr>
      </w:pPr>
      <w:r w:rsidRPr="000F7AA9">
        <w:rPr>
          <w:rFonts w:cstheme="minorHAnsi"/>
          <w:b/>
          <w:bCs/>
          <w:highlight w:val="yellow"/>
        </w:rPr>
        <w:t xml:space="preserve">Extra </w:t>
      </w:r>
      <w:r>
        <w:rPr>
          <w:rFonts w:cstheme="minorHAnsi"/>
          <w:b/>
          <w:bCs/>
          <w:highlight w:val="yellow"/>
        </w:rPr>
        <w:t xml:space="preserve">dózis </w:t>
      </w:r>
      <w:r w:rsidRPr="000F7AA9">
        <w:rPr>
          <w:rFonts w:cstheme="minorHAnsi"/>
          <w:b/>
          <w:bCs/>
          <w:highlight w:val="yellow"/>
        </w:rPr>
        <w:t>COVID-19 vakcina adása</w:t>
      </w:r>
    </w:p>
    <w:p w14:paraId="2B8BCBDD" w14:textId="77777777" w:rsidR="00396E86" w:rsidRDefault="00396E86" w:rsidP="00396E86">
      <w:pPr>
        <w:spacing w:line="240" w:lineRule="auto"/>
        <w:jc w:val="both"/>
        <w:rPr>
          <w:rFonts w:cstheme="minorHAnsi"/>
          <w:highlight w:val="yellow"/>
        </w:rPr>
      </w:pPr>
      <w:r w:rsidRPr="00C07614">
        <w:rPr>
          <w:rFonts w:cstheme="minorHAnsi"/>
          <w:highlight w:val="yellow"/>
        </w:rPr>
        <w:t>Az EMA 2021. októberben kiadott ajánlása szerint a súlyosan gyengült immunrendszerű betegek esetében mRNS vakcina (Comirnaty, Moderna) extra adagja</w:t>
      </w:r>
      <w:r>
        <w:rPr>
          <w:rFonts w:cstheme="minorHAnsi"/>
          <w:highlight w:val="yellow"/>
        </w:rPr>
        <w:t xml:space="preserve"> (3. oltás)</w:t>
      </w:r>
      <w:r w:rsidRPr="00C07614">
        <w:rPr>
          <w:rFonts w:cstheme="minorHAnsi"/>
          <w:highlight w:val="yellow"/>
        </w:rPr>
        <w:t xml:space="preserve"> adható a 2. </w:t>
      </w:r>
      <w:r>
        <w:rPr>
          <w:rFonts w:cstheme="minorHAnsi"/>
          <w:highlight w:val="yellow"/>
        </w:rPr>
        <w:t>vakcina</w:t>
      </w:r>
      <w:r w:rsidRPr="00C07614">
        <w:rPr>
          <w:rFonts w:cstheme="minorHAnsi"/>
          <w:highlight w:val="yellow"/>
        </w:rPr>
        <w:t>dózis után legalább 28 nappal.</w:t>
      </w:r>
      <w:r>
        <w:rPr>
          <w:rFonts w:cstheme="minorHAnsi"/>
          <w:highlight w:val="yellow"/>
        </w:rPr>
        <w:t xml:space="preserve"> </w:t>
      </w:r>
      <w:r w:rsidRPr="00C07614">
        <w:rPr>
          <w:rFonts w:cstheme="minorHAnsi"/>
          <w:highlight w:val="yellow"/>
        </w:rPr>
        <w:t>Feltételezhető, hogy a gyengült immunrendszerű betegekben</w:t>
      </w:r>
      <w:r>
        <w:rPr>
          <w:rFonts w:cstheme="minorHAnsi"/>
          <w:highlight w:val="yellow"/>
        </w:rPr>
        <w:t xml:space="preserve"> </w:t>
      </w:r>
      <w:r w:rsidRPr="00C07614">
        <w:rPr>
          <w:rFonts w:cstheme="minorHAnsi"/>
          <w:highlight w:val="yellow"/>
        </w:rPr>
        <w:t>az extra vakcinadózis emeli a vírus elleni antitesttermelő képességet</w:t>
      </w:r>
      <w:r>
        <w:rPr>
          <w:rFonts w:cstheme="minorHAnsi"/>
          <w:highlight w:val="yellow"/>
        </w:rPr>
        <w:t>,</w:t>
      </w:r>
      <w:r w:rsidRPr="00C07614">
        <w:rPr>
          <w:rFonts w:cstheme="minorHAnsi"/>
          <w:highlight w:val="yellow"/>
        </w:rPr>
        <w:t xml:space="preserve"> és bár nincs rá direkt bizonyíték, feltételezhető, hogy ez legalább is egyes </w:t>
      </w:r>
      <w:r w:rsidRPr="002F333B">
        <w:rPr>
          <w:rFonts w:cstheme="minorHAnsi"/>
          <w:highlight w:val="yellow"/>
        </w:rPr>
        <w:t>betegek</w:t>
      </w:r>
      <w:r>
        <w:rPr>
          <w:rFonts w:cstheme="minorHAnsi"/>
          <w:highlight w:val="yellow"/>
        </w:rPr>
        <w:t xml:space="preserve"> esetében</w:t>
      </w:r>
      <w:r w:rsidRPr="002F333B">
        <w:rPr>
          <w:rFonts w:cstheme="minorHAnsi"/>
          <w:highlight w:val="yellow"/>
        </w:rPr>
        <w:t xml:space="preserve"> növeli az immunvédelmet.</w:t>
      </w:r>
    </w:p>
    <w:p w14:paraId="2D189568" w14:textId="2BC53363" w:rsidR="00396E86" w:rsidRPr="00952884" w:rsidRDefault="00396E86" w:rsidP="00396E86">
      <w:pPr>
        <w:spacing w:line="240" w:lineRule="auto"/>
        <w:jc w:val="both"/>
        <w:rPr>
          <w:rFonts w:cstheme="minorHAnsi"/>
          <w:highlight w:val="yellow"/>
        </w:rPr>
      </w:pPr>
      <w:r>
        <w:rPr>
          <w:rFonts w:cstheme="minorHAnsi"/>
          <w:highlight w:val="yellow"/>
        </w:rPr>
        <w:t>A</w:t>
      </w:r>
      <w:r w:rsidRPr="00952884">
        <w:rPr>
          <w:rFonts w:cstheme="minorHAnsi"/>
          <w:highlight w:val="yellow"/>
        </w:rPr>
        <w:t>zoknak a</w:t>
      </w:r>
      <w:r>
        <w:rPr>
          <w:rFonts w:cstheme="minorHAnsi"/>
          <w:highlight w:val="yellow"/>
        </w:rPr>
        <w:t xml:space="preserve"> </w:t>
      </w:r>
      <w:r w:rsidRPr="00952884">
        <w:rPr>
          <w:rFonts w:cstheme="minorHAnsi"/>
          <w:highlight w:val="yellow"/>
        </w:rPr>
        <w:t>betegeknek, akiknél várhatóan nem alakul ki megfelelő immunválasz az első 2 vakcinadózis után</w:t>
      </w:r>
      <w:r>
        <w:rPr>
          <w:rFonts w:cstheme="minorHAnsi"/>
          <w:highlight w:val="yellow"/>
        </w:rPr>
        <w:t xml:space="preserve"> 3.</w:t>
      </w:r>
      <w:r w:rsidRPr="00952884">
        <w:rPr>
          <w:rFonts w:cstheme="minorHAnsi"/>
          <w:highlight w:val="yellow"/>
        </w:rPr>
        <w:t xml:space="preserve"> dózis </w:t>
      </w:r>
      <w:r>
        <w:rPr>
          <w:rFonts w:cstheme="minorHAnsi"/>
          <w:highlight w:val="yellow"/>
        </w:rPr>
        <w:t xml:space="preserve">mRNS </w:t>
      </w:r>
      <w:r w:rsidRPr="00952884">
        <w:rPr>
          <w:rFonts w:cstheme="minorHAnsi"/>
          <w:highlight w:val="yellow"/>
        </w:rPr>
        <w:t xml:space="preserve">COVID-19 vakcina adása javasolt </w:t>
      </w:r>
      <w:r>
        <w:rPr>
          <w:rFonts w:cstheme="minorHAnsi"/>
          <w:highlight w:val="yellow"/>
        </w:rPr>
        <w:t>a 2. oltás után legkorábban 2 hónappal</w:t>
      </w:r>
      <w:r w:rsidRPr="00952884">
        <w:rPr>
          <w:rFonts w:cstheme="minorHAnsi"/>
          <w:highlight w:val="yellow"/>
        </w:rPr>
        <w:t>.</w:t>
      </w:r>
      <w:r>
        <w:rPr>
          <w:rFonts w:cstheme="minorHAnsi"/>
          <w:highlight w:val="yellow"/>
        </w:rPr>
        <w:t xml:space="preserve"> Elsősorban </w:t>
      </w:r>
      <w:r w:rsidR="00D3577F">
        <w:rPr>
          <w:rFonts w:cstheme="minorHAnsi"/>
          <w:highlight w:val="yellow"/>
        </w:rPr>
        <w:t>a rituximab</w:t>
      </w:r>
      <w:r>
        <w:rPr>
          <w:rFonts w:cstheme="minorHAnsi"/>
          <w:highlight w:val="yellow"/>
        </w:rPr>
        <w:t>, azatioprin</w:t>
      </w:r>
      <w:r w:rsidR="00CB0F9F">
        <w:rPr>
          <w:rFonts w:cstheme="minorHAnsi"/>
          <w:highlight w:val="yellow"/>
        </w:rPr>
        <w:t>, metotrexát</w:t>
      </w:r>
      <w:r w:rsidR="002A72A6">
        <w:rPr>
          <w:rFonts w:cstheme="minorHAnsi"/>
          <w:highlight w:val="yellow"/>
        </w:rPr>
        <w:t>, és a krónikus szteroid</w:t>
      </w:r>
      <w:r>
        <w:rPr>
          <w:rFonts w:cstheme="minorHAnsi"/>
          <w:highlight w:val="yellow"/>
        </w:rPr>
        <w:t xml:space="preserve"> kezelés alatt álló betegek profitálhatnak kiegészítő vakcinadózis beadásából.</w:t>
      </w:r>
    </w:p>
    <w:p w14:paraId="2328927F" w14:textId="77777777" w:rsidR="00396E86" w:rsidRDefault="00396E86" w:rsidP="00396E86">
      <w:pPr>
        <w:spacing w:line="240" w:lineRule="auto"/>
        <w:jc w:val="both"/>
        <w:rPr>
          <w:rFonts w:cstheme="minorHAnsi"/>
          <w:highlight w:val="yellow"/>
        </w:rPr>
      </w:pPr>
      <w:r>
        <w:rPr>
          <w:rFonts w:cstheme="minorHAnsi"/>
          <w:highlight w:val="yellow"/>
        </w:rPr>
        <w:t>Rituximab kezelés esetén a 3. oltás bedása a következő tervezett rituximab dózis előtt 2-4 héttel javasolt (6 havonta adott kezelés esetén az 5. vagy 5,5. hónapnál).</w:t>
      </w:r>
    </w:p>
    <w:p w14:paraId="67A7FE55" w14:textId="77777777" w:rsidR="00396E86" w:rsidRPr="00BD151C" w:rsidRDefault="00396E86" w:rsidP="005828D7">
      <w:pPr>
        <w:spacing w:line="240" w:lineRule="auto"/>
        <w:jc w:val="both"/>
        <w:rPr>
          <w:rFonts w:cstheme="minorHAnsi"/>
        </w:rPr>
      </w:pPr>
    </w:p>
    <w:p w14:paraId="01C94F45" w14:textId="30CD7451" w:rsidR="00801899" w:rsidRPr="00BD151C" w:rsidRDefault="00801899" w:rsidP="005828D7">
      <w:pPr>
        <w:spacing w:line="240" w:lineRule="auto"/>
        <w:jc w:val="both"/>
        <w:rPr>
          <w:rFonts w:cstheme="minorHAnsi"/>
          <w:b/>
          <w:bCs/>
        </w:rPr>
      </w:pPr>
      <w:r w:rsidRPr="00BD151C">
        <w:rPr>
          <w:rFonts w:cstheme="minorHAnsi"/>
          <w:b/>
          <w:bCs/>
        </w:rPr>
        <w:lastRenderedPageBreak/>
        <w:t xml:space="preserve">Guillain-Barré Szindróma (GBS) és Krónikus </w:t>
      </w:r>
      <w:r w:rsidR="00381767" w:rsidRPr="00BD151C">
        <w:rPr>
          <w:rFonts w:cstheme="minorHAnsi"/>
          <w:b/>
          <w:bCs/>
        </w:rPr>
        <w:t>Inflammator</w:t>
      </w:r>
      <w:r w:rsidR="7E7899CA" w:rsidRPr="00BD151C">
        <w:rPr>
          <w:rFonts w:cstheme="minorHAnsi"/>
          <w:b/>
          <w:bCs/>
        </w:rPr>
        <w:t>ikus</w:t>
      </w:r>
      <w:r w:rsidRPr="00BD151C">
        <w:rPr>
          <w:rFonts w:cstheme="minorHAnsi"/>
          <w:b/>
          <w:bCs/>
        </w:rPr>
        <w:t xml:space="preserve"> Demielinizációs Polineuropátia (CIDP)</w:t>
      </w:r>
    </w:p>
    <w:p w14:paraId="007CF884" w14:textId="3F04DFEA" w:rsidR="00545B74" w:rsidRPr="00BD151C" w:rsidRDefault="00545B74" w:rsidP="005828D7">
      <w:pPr>
        <w:spacing w:line="240" w:lineRule="auto"/>
        <w:jc w:val="both"/>
        <w:rPr>
          <w:rFonts w:cstheme="minorHAnsi"/>
        </w:rPr>
      </w:pPr>
      <w:r w:rsidRPr="00BD151C">
        <w:rPr>
          <w:rFonts w:cstheme="minorHAnsi"/>
        </w:rPr>
        <w:t xml:space="preserve">A vakcinák beadását követően kialakult GBS-től való félelmet az influenza vakcinációval kapcsolatos adatokra alapozzák. 1976/1977-ben a sertésinfluenza elleni védőoltás </w:t>
      </w:r>
      <w:r w:rsidR="4178724C" w:rsidRPr="00BD151C">
        <w:rPr>
          <w:rFonts w:cstheme="minorHAnsi"/>
        </w:rPr>
        <w:t>során 100,000</w:t>
      </w:r>
      <w:r w:rsidRPr="00BD151C">
        <w:rPr>
          <w:rFonts w:cstheme="minorHAnsi"/>
        </w:rPr>
        <w:t xml:space="preserve"> vakcinát kapó személy közül egynél alakult ki GBS. Az influenza elleni védőoltást kapott 1,000,000 személy közül csak egynél észleltek GBS-t, ami csak minimálisan haladta meg a GBS előfordulásának természetes gyakoriságát.  </w:t>
      </w:r>
    </w:p>
    <w:p w14:paraId="50E79E38" w14:textId="001B2824" w:rsidR="007B7644" w:rsidRPr="00BD151C" w:rsidRDefault="007B7644" w:rsidP="005828D7">
      <w:pPr>
        <w:spacing w:line="240" w:lineRule="auto"/>
        <w:jc w:val="both"/>
        <w:rPr>
          <w:rFonts w:cstheme="minorHAnsi"/>
        </w:rPr>
      </w:pPr>
      <w:r w:rsidRPr="00BD151C">
        <w:rPr>
          <w:rFonts w:cstheme="minorHAnsi"/>
        </w:rPr>
        <w:t>Jelenlegi tudásunk szerint nincs adat arra vonatkozóan, hogy a fent részletezett</w:t>
      </w:r>
      <w:r w:rsidR="00134E46">
        <w:rPr>
          <w:rFonts w:cstheme="minorHAnsi"/>
        </w:rPr>
        <w:t xml:space="preserve"> </w:t>
      </w:r>
      <w:r w:rsidRPr="00BD151C">
        <w:rPr>
          <w:rFonts w:cstheme="minorHAnsi"/>
        </w:rPr>
        <w:t>vakcinák károsak lennének, vagy bármilyen szempontból fokozott kockázatot jelentenének a korábban GBS</w:t>
      </w:r>
      <w:r w:rsidR="00D434FA" w:rsidRPr="00BD151C">
        <w:rPr>
          <w:rFonts w:cstheme="minorHAnsi"/>
        </w:rPr>
        <w:t>-en</w:t>
      </w:r>
      <w:r w:rsidRPr="00BD151C">
        <w:rPr>
          <w:rFonts w:cstheme="minorHAnsi"/>
        </w:rPr>
        <w:t xml:space="preserve"> átesett, vagy aktuálisan CIDP-ben szenvedő betegek esetében.</w:t>
      </w:r>
    </w:p>
    <w:p w14:paraId="60ADAE12" w14:textId="430D622C" w:rsidR="007B7644" w:rsidRPr="00BD151C" w:rsidRDefault="007B7644" w:rsidP="005828D7">
      <w:pPr>
        <w:spacing w:line="240" w:lineRule="auto"/>
        <w:jc w:val="both"/>
        <w:rPr>
          <w:rFonts w:eastAsia="Times New Roman" w:cstheme="minorHAnsi"/>
          <w:color w:val="000000" w:themeColor="text1"/>
          <w:lang w:eastAsia="hu-HU"/>
        </w:rPr>
      </w:pPr>
      <w:r w:rsidRPr="00BD151C">
        <w:rPr>
          <w:rFonts w:cstheme="minorHAnsi"/>
        </w:rPr>
        <w:t xml:space="preserve">Nem jelentettek ezidáig a COVID-19 </w:t>
      </w:r>
      <w:r w:rsidRPr="00134E46">
        <w:rPr>
          <w:rFonts w:cstheme="minorHAnsi"/>
        </w:rPr>
        <w:t>mRNS</w:t>
      </w:r>
      <w:r w:rsidRPr="006D2962">
        <w:rPr>
          <w:rFonts w:cstheme="minorHAnsi"/>
          <w:strike/>
        </w:rPr>
        <w:t xml:space="preserve"> </w:t>
      </w:r>
      <w:r w:rsidRPr="00BD151C">
        <w:rPr>
          <w:rFonts w:cstheme="minorHAnsi"/>
        </w:rPr>
        <w:t xml:space="preserve">vakcina beadását követően kialakult </w:t>
      </w:r>
      <w:r w:rsidR="001215E3" w:rsidRPr="00BD151C">
        <w:rPr>
          <w:rFonts w:cstheme="minorHAnsi"/>
        </w:rPr>
        <w:t>GBS</w:t>
      </w:r>
      <w:r w:rsidRPr="00BD151C">
        <w:rPr>
          <w:rFonts w:cstheme="minorHAnsi"/>
        </w:rPr>
        <w:t xml:space="preserve"> esetet.</w:t>
      </w:r>
      <w:r w:rsidR="0036006A" w:rsidRPr="00BD151C">
        <w:rPr>
          <w:rFonts w:cstheme="minorHAnsi"/>
        </w:rPr>
        <w:t xml:space="preserve"> </w:t>
      </w:r>
      <w:r w:rsidR="7A722292" w:rsidRPr="00BD151C">
        <w:rPr>
          <w:rFonts w:eastAsia="Times New Roman" w:cstheme="minorHAnsi"/>
          <w:color w:val="000000" w:themeColor="text1"/>
          <w:lang w:eastAsia="hu-HU"/>
        </w:rPr>
        <w:t>Izraelben tizenhárom</w:t>
      </w:r>
      <w:r w:rsidR="0036006A" w:rsidRPr="00BD151C">
        <w:rPr>
          <w:rFonts w:eastAsia="Times New Roman" w:cstheme="minorHAnsi"/>
          <w:color w:val="000000" w:themeColor="text1"/>
          <w:lang w:eastAsia="hu-HU"/>
        </w:rPr>
        <w:t xml:space="preserve"> arcideg</w:t>
      </w:r>
      <w:r w:rsidR="1747C0EF" w:rsidRPr="00BD151C">
        <w:rPr>
          <w:rFonts w:eastAsia="Times New Roman" w:cstheme="minorHAnsi"/>
          <w:color w:val="000000" w:themeColor="text1"/>
          <w:lang w:eastAsia="hu-HU"/>
        </w:rPr>
        <w:t>-</w:t>
      </w:r>
      <w:r w:rsidR="0036006A" w:rsidRPr="00BD151C">
        <w:rPr>
          <w:rFonts w:eastAsia="Times New Roman" w:cstheme="minorHAnsi"/>
          <w:color w:val="000000" w:themeColor="text1"/>
          <w:lang w:eastAsia="hu-HU"/>
        </w:rPr>
        <w:t>bénulás</w:t>
      </w:r>
      <w:r w:rsidR="269DAA94" w:rsidRPr="00BD151C">
        <w:rPr>
          <w:rFonts w:eastAsia="Times New Roman" w:cstheme="minorHAnsi"/>
          <w:color w:val="000000" w:themeColor="text1"/>
          <w:lang w:eastAsia="hu-HU"/>
        </w:rPr>
        <w:t xml:space="preserve"> kialakulásá</w:t>
      </w:r>
      <w:r w:rsidR="0036006A" w:rsidRPr="00BD151C">
        <w:rPr>
          <w:rFonts w:eastAsia="Times New Roman" w:cstheme="minorHAnsi"/>
          <w:color w:val="000000" w:themeColor="text1"/>
          <w:lang w:eastAsia="hu-HU"/>
        </w:rPr>
        <w:t xml:space="preserve">t </w:t>
      </w:r>
      <w:r w:rsidR="0036006A" w:rsidRPr="00134E46">
        <w:rPr>
          <w:rFonts w:eastAsia="Times New Roman" w:cstheme="minorHAnsi"/>
          <w:color w:val="000000" w:themeColor="text1"/>
          <w:lang w:eastAsia="hu-HU"/>
        </w:rPr>
        <w:t>dokumentált</w:t>
      </w:r>
      <w:r w:rsidR="69BC8DE8" w:rsidRPr="00134E46">
        <w:rPr>
          <w:rFonts w:eastAsia="Times New Roman" w:cstheme="minorHAnsi"/>
          <w:color w:val="000000" w:themeColor="text1"/>
          <w:lang w:eastAsia="hu-HU"/>
        </w:rPr>
        <w:t>á</w:t>
      </w:r>
      <w:r w:rsidR="0036006A" w:rsidRPr="00134E46">
        <w:rPr>
          <w:rFonts w:eastAsia="Times New Roman" w:cstheme="minorHAnsi"/>
          <w:color w:val="000000" w:themeColor="text1"/>
          <w:lang w:eastAsia="hu-HU"/>
        </w:rPr>
        <w:t xml:space="preserve">k a </w:t>
      </w:r>
      <w:r w:rsidR="006D2962" w:rsidRPr="00134E46">
        <w:rPr>
          <w:rFonts w:eastAsia="Times New Roman" w:cstheme="minorHAnsi"/>
          <w:color w:val="000000" w:themeColor="text1"/>
          <w:lang w:eastAsia="hu-HU"/>
        </w:rPr>
        <w:t xml:space="preserve">Pfizer-Biontech </w:t>
      </w:r>
      <w:r w:rsidR="0036006A" w:rsidRPr="00134E46">
        <w:rPr>
          <w:rFonts w:eastAsia="Times New Roman" w:cstheme="minorHAnsi"/>
          <w:color w:val="000000" w:themeColor="text1"/>
          <w:lang w:eastAsia="hu-HU"/>
        </w:rPr>
        <w:t xml:space="preserve">vakcina </w:t>
      </w:r>
      <w:r w:rsidR="17440BB2" w:rsidRPr="00134E46">
        <w:rPr>
          <w:rFonts w:eastAsia="Times New Roman" w:cstheme="minorHAnsi"/>
          <w:color w:val="000000" w:themeColor="text1"/>
          <w:lang w:eastAsia="hu-HU"/>
        </w:rPr>
        <w:t>első d</w:t>
      </w:r>
      <w:r w:rsidR="17440BB2" w:rsidRPr="00BD151C">
        <w:rPr>
          <w:rFonts w:eastAsia="Times New Roman" w:cstheme="minorHAnsi"/>
          <w:color w:val="000000" w:themeColor="text1"/>
          <w:lang w:eastAsia="hu-HU"/>
        </w:rPr>
        <w:t>ózisának beadását követően</w:t>
      </w:r>
      <w:r w:rsidR="229A0B8C" w:rsidRPr="00BD151C">
        <w:rPr>
          <w:rFonts w:eastAsia="Times New Roman" w:cstheme="minorHAnsi"/>
          <w:color w:val="000000" w:themeColor="text1"/>
          <w:lang w:eastAsia="hu-HU"/>
        </w:rPr>
        <w:t xml:space="preserve"> 28 órán belül, </w:t>
      </w:r>
      <w:r w:rsidR="1F5FA3CD" w:rsidRPr="00BD151C">
        <w:rPr>
          <w:rFonts w:eastAsia="Times New Roman" w:cstheme="minorHAnsi"/>
          <w:color w:val="000000" w:themeColor="text1"/>
          <w:lang w:eastAsia="hu-HU"/>
        </w:rPr>
        <w:t>de ez ritka szövődménynek számított az oltottak számának esetéhez viszonyítva.</w:t>
      </w:r>
    </w:p>
    <w:p w14:paraId="01FBDFAE" w14:textId="09E46EC5" w:rsidR="007B7644" w:rsidRPr="00BD151C" w:rsidRDefault="007B7644" w:rsidP="005828D7">
      <w:pPr>
        <w:spacing w:line="240" w:lineRule="auto"/>
        <w:jc w:val="both"/>
        <w:rPr>
          <w:rFonts w:cstheme="minorHAnsi"/>
        </w:rPr>
      </w:pPr>
      <w:r w:rsidRPr="00BD151C">
        <w:rPr>
          <w:rFonts w:cstheme="minorHAnsi"/>
        </w:rPr>
        <w:t>A legújabb tanulmányok szerint a COVID-19 fertőzés sem jár fokozott GBS kockázattal, egy Nagy-Britanniában végzett epidemiológiai tanulmány szerint 2020 első félévében nem fordult elő több GBS eset, mint 2016-2019 között.</w:t>
      </w:r>
    </w:p>
    <w:p w14:paraId="36C0C258" w14:textId="7F7D8475" w:rsidR="007B7644" w:rsidRPr="00BD151C" w:rsidRDefault="007B7644" w:rsidP="005828D7">
      <w:pPr>
        <w:spacing w:line="240" w:lineRule="auto"/>
        <w:jc w:val="both"/>
        <w:rPr>
          <w:rFonts w:cstheme="minorHAnsi"/>
        </w:rPr>
      </w:pPr>
      <w:r w:rsidRPr="00BD151C">
        <w:rPr>
          <w:rFonts w:cstheme="minorHAnsi"/>
        </w:rPr>
        <w:t xml:space="preserve">Tömeges vakcináció során elkerülhetetlen szórványos GBS előfordulása, de </w:t>
      </w:r>
      <w:r w:rsidR="003D2920" w:rsidRPr="00BD151C">
        <w:rPr>
          <w:rFonts w:cstheme="minorHAnsi"/>
        </w:rPr>
        <w:t xml:space="preserve">a </w:t>
      </w:r>
      <w:r w:rsidRPr="00BD151C">
        <w:rPr>
          <w:rFonts w:cstheme="minorHAnsi"/>
        </w:rPr>
        <w:t>szakértők hangsúlyozzák, hogy az általános oltási programot emiatt nem szabad felfüggeszteni.</w:t>
      </w:r>
    </w:p>
    <w:p w14:paraId="2B5AB9CC" w14:textId="59DAC8E7" w:rsidR="00C55844" w:rsidRPr="00CE2AEB" w:rsidRDefault="6724BD92" w:rsidP="005828D7">
      <w:pPr>
        <w:shd w:val="clear" w:color="auto" w:fill="FFFFFF" w:themeFill="background1"/>
        <w:spacing w:line="240" w:lineRule="auto"/>
        <w:jc w:val="both"/>
        <w:rPr>
          <w:rFonts w:eastAsia="Times New Roman" w:cstheme="minorHAnsi"/>
          <w:color w:val="3E3E3E"/>
          <w:lang w:eastAsia="hu-HU"/>
        </w:rPr>
      </w:pPr>
      <w:r w:rsidRPr="00BD151C">
        <w:rPr>
          <w:rFonts w:eastAsia="Times New Roman" w:cstheme="minorHAnsi"/>
          <w:color w:val="3E3E3E"/>
          <w:lang w:eastAsia="hu-HU"/>
        </w:rPr>
        <w:t xml:space="preserve">A CIDP miatt alkalmazott PLEX és/vagy IVIG kezelést lehetőség szerint figyelembe kell venni a védőoltás beadásának időzítésekor és fordítva, a védőoltás </w:t>
      </w:r>
      <w:r w:rsidR="00A350C0" w:rsidRPr="00BD151C">
        <w:rPr>
          <w:rFonts w:eastAsia="Times New Roman" w:cstheme="minorHAnsi"/>
          <w:color w:val="3E3E3E"/>
          <w:lang w:eastAsia="hu-HU"/>
        </w:rPr>
        <w:t xml:space="preserve">beadását követően, a </w:t>
      </w:r>
      <w:r w:rsidRPr="00BD151C">
        <w:rPr>
          <w:rFonts w:eastAsia="Times New Roman" w:cstheme="minorHAnsi"/>
          <w:color w:val="3E3E3E"/>
          <w:lang w:eastAsia="hu-HU"/>
        </w:rPr>
        <w:t xml:space="preserve">hatás kialakulásáig a PLEX </w:t>
      </w:r>
      <w:r w:rsidRPr="00CE2AEB">
        <w:rPr>
          <w:rFonts w:eastAsia="Times New Roman" w:cstheme="minorHAnsi"/>
          <w:color w:val="3E3E3E"/>
          <w:lang w:eastAsia="hu-HU"/>
        </w:rPr>
        <w:t>kezelést lehetőség szerint kerülni kell</w:t>
      </w:r>
      <w:r w:rsidR="00C55844" w:rsidRPr="00CE2AEB">
        <w:rPr>
          <w:rFonts w:eastAsia="Times New Roman" w:cstheme="minorHAnsi"/>
          <w:color w:val="3E3E3E"/>
          <w:lang w:eastAsia="hu-HU"/>
        </w:rPr>
        <w:t xml:space="preserve"> és az IVIG-et preferálni</w:t>
      </w:r>
      <w:r w:rsidRPr="00CE2AEB">
        <w:rPr>
          <w:rFonts w:eastAsia="Times New Roman" w:cstheme="minorHAnsi"/>
          <w:color w:val="3E3E3E"/>
          <w:lang w:eastAsia="hu-HU"/>
        </w:rPr>
        <w:t>.</w:t>
      </w:r>
      <w:r w:rsidR="00C55844" w:rsidRPr="00CE2AEB">
        <w:rPr>
          <w:rFonts w:eastAsia="Times New Roman" w:cstheme="minorHAnsi"/>
          <w:color w:val="3E3E3E"/>
          <w:lang w:eastAsia="hu-HU"/>
        </w:rPr>
        <w:t xml:space="preserve"> </w:t>
      </w:r>
      <w:r w:rsidR="006D2962" w:rsidRPr="00CE2AEB">
        <w:rPr>
          <w:rFonts w:eastAsia="Times New Roman" w:cstheme="minorHAnsi"/>
          <w:color w:val="3E3E3E"/>
          <w:lang w:eastAsia="hu-HU"/>
        </w:rPr>
        <w:t xml:space="preserve">A Sinopharm vakcina esetében az alkalmazási útmutató szerint immunglobulin-kezelést követően </w:t>
      </w:r>
      <w:r w:rsidR="000714AC" w:rsidRPr="00CE2AEB">
        <w:rPr>
          <w:rFonts w:eastAsia="Times New Roman" w:cstheme="minorHAnsi"/>
          <w:color w:val="3E3E3E"/>
          <w:lang w:eastAsia="hu-HU"/>
        </w:rPr>
        <w:t xml:space="preserve">vakcináció </w:t>
      </w:r>
      <w:r w:rsidR="006D2962" w:rsidRPr="00CE2AEB">
        <w:rPr>
          <w:rFonts w:eastAsia="Times New Roman" w:cstheme="minorHAnsi"/>
          <w:color w:val="3E3E3E"/>
          <w:lang w:eastAsia="hu-HU"/>
        </w:rPr>
        <w:t>az immunológiai hatásosság megváltozá</w:t>
      </w:r>
      <w:r w:rsidR="000714AC" w:rsidRPr="00CE2AEB">
        <w:rPr>
          <w:rFonts w:eastAsia="Times New Roman" w:cstheme="minorHAnsi"/>
          <w:color w:val="3E3E3E"/>
          <w:lang w:eastAsia="hu-HU"/>
        </w:rPr>
        <w:t xml:space="preserve">sának elkerülése érdekében a kezelés után </w:t>
      </w:r>
      <w:r w:rsidR="006D2962" w:rsidRPr="00CE2AEB">
        <w:rPr>
          <w:rFonts w:eastAsia="Times New Roman" w:cstheme="minorHAnsi"/>
          <w:color w:val="3E3E3E"/>
          <w:lang w:eastAsia="hu-HU"/>
        </w:rPr>
        <w:t xml:space="preserve">több mint 1 hónap elteltével </w:t>
      </w:r>
      <w:r w:rsidR="000714AC" w:rsidRPr="00CE2AEB">
        <w:rPr>
          <w:rFonts w:eastAsia="Times New Roman" w:cstheme="minorHAnsi"/>
          <w:color w:val="3E3E3E"/>
          <w:lang w:eastAsia="hu-HU"/>
        </w:rPr>
        <w:t>végezhető.</w:t>
      </w:r>
      <w:r w:rsidR="006D2962" w:rsidRPr="00CE2AEB">
        <w:rPr>
          <w:rFonts w:eastAsia="Times New Roman" w:cstheme="minorHAnsi"/>
          <w:color w:val="3E3E3E"/>
          <w:lang w:eastAsia="hu-HU"/>
        </w:rPr>
        <w:t xml:space="preserve"> </w:t>
      </w:r>
    </w:p>
    <w:p w14:paraId="1BEC834A" w14:textId="02F25F4B" w:rsidR="007B7644" w:rsidRDefault="007B7644" w:rsidP="005828D7">
      <w:pPr>
        <w:spacing w:line="240" w:lineRule="auto"/>
        <w:jc w:val="both"/>
        <w:rPr>
          <w:rFonts w:cstheme="minorHAnsi"/>
        </w:rPr>
      </w:pPr>
      <w:r w:rsidRPr="00CE2AEB">
        <w:rPr>
          <w:rFonts w:cstheme="minorHAnsi"/>
        </w:rPr>
        <w:t>Kiemelten fontos</w:t>
      </w:r>
      <w:r w:rsidR="16547979" w:rsidRPr="00CE2AEB">
        <w:rPr>
          <w:rFonts w:cstheme="minorHAnsi"/>
        </w:rPr>
        <w:t>, hogy</w:t>
      </w:r>
      <w:r w:rsidRPr="00CE2AEB">
        <w:rPr>
          <w:rFonts w:cstheme="minorHAnsi"/>
        </w:rPr>
        <w:t xml:space="preserve"> </w:t>
      </w:r>
      <w:r w:rsidRPr="00CE2AEB">
        <w:rPr>
          <w:rFonts w:cstheme="minorHAnsi"/>
          <w:b/>
          <w:bCs/>
        </w:rPr>
        <w:t>a</w:t>
      </w:r>
      <w:r w:rsidR="00FB5631" w:rsidRPr="00CE2AEB">
        <w:rPr>
          <w:rFonts w:cstheme="minorHAnsi"/>
          <w:b/>
          <w:bCs/>
        </w:rPr>
        <w:t>z</w:t>
      </w:r>
      <w:r w:rsidR="00EC5700" w:rsidRPr="00CE2AEB">
        <w:rPr>
          <w:rFonts w:cstheme="minorHAnsi"/>
          <w:b/>
          <w:bCs/>
        </w:rPr>
        <w:t xml:space="preserve"> immunmoduláló</w:t>
      </w:r>
      <w:r w:rsidR="00EC5700" w:rsidRPr="00CE2AEB">
        <w:rPr>
          <w:rFonts w:cstheme="minorHAnsi"/>
        </w:rPr>
        <w:t xml:space="preserve"> (IVIG, PLEX), vagy</w:t>
      </w:r>
      <w:r w:rsidRPr="00CE2AEB">
        <w:rPr>
          <w:rFonts w:cstheme="minorHAnsi"/>
        </w:rPr>
        <w:t xml:space="preserve"> </w:t>
      </w:r>
      <w:r w:rsidRPr="00CE2AEB">
        <w:rPr>
          <w:rFonts w:cstheme="minorHAnsi"/>
          <w:b/>
          <w:bCs/>
        </w:rPr>
        <w:t>immunszuppresszív kezelésben részesülő</w:t>
      </w:r>
      <w:r w:rsidRPr="00CE2AEB">
        <w:rPr>
          <w:rFonts w:cstheme="minorHAnsi"/>
        </w:rPr>
        <w:t xml:space="preserve"> (</w:t>
      </w:r>
      <w:r w:rsidR="00484CB0" w:rsidRPr="00CE2AEB">
        <w:rPr>
          <w:rFonts w:cstheme="minorHAnsi"/>
        </w:rPr>
        <w:t>szteroid</w:t>
      </w:r>
      <w:r w:rsidRPr="00CE2AEB">
        <w:rPr>
          <w:rFonts w:cstheme="minorHAnsi"/>
        </w:rPr>
        <w:t>) betegek esetében</w:t>
      </w:r>
      <w:r w:rsidR="00DD332F" w:rsidRPr="00CE2AEB">
        <w:rPr>
          <w:rFonts w:cstheme="minorHAnsi"/>
        </w:rPr>
        <w:t xml:space="preserve"> </w:t>
      </w:r>
      <w:r w:rsidRPr="00CE2AEB">
        <w:rPr>
          <w:rFonts w:cstheme="minorHAnsi"/>
        </w:rPr>
        <w:t>a védőoltás beadásáról, annak időzítéséről személyre szabott</w:t>
      </w:r>
      <w:r w:rsidRPr="00BD151C">
        <w:rPr>
          <w:rFonts w:cstheme="minorHAnsi"/>
        </w:rPr>
        <w:t xml:space="preserve"> döntés szülessen a beteget gondozó kezelőorvos bevonásával</w:t>
      </w:r>
      <w:r w:rsidR="00DD332F" w:rsidRPr="00BD151C">
        <w:rPr>
          <w:rFonts w:cstheme="minorHAnsi"/>
        </w:rPr>
        <w:t>. Ennek az üzenetnek a továbbítását kérjük a betegtársaságoktól is.</w:t>
      </w:r>
    </w:p>
    <w:p w14:paraId="273E6D34" w14:textId="77777777" w:rsidR="00EF4419" w:rsidRPr="00BD151C" w:rsidRDefault="00EF4419" w:rsidP="005828D7">
      <w:pPr>
        <w:spacing w:line="240" w:lineRule="auto"/>
        <w:jc w:val="both"/>
        <w:rPr>
          <w:rFonts w:cstheme="minorHAnsi"/>
        </w:rPr>
      </w:pPr>
    </w:p>
    <w:p w14:paraId="6BCE5A7C" w14:textId="2F33A0AC" w:rsidR="00801899" w:rsidRPr="00BD151C" w:rsidRDefault="00D971D2" w:rsidP="005828D7">
      <w:pPr>
        <w:spacing w:line="240" w:lineRule="auto"/>
        <w:jc w:val="both"/>
        <w:rPr>
          <w:rFonts w:cstheme="minorHAnsi"/>
          <w:i/>
          <w:iCs/>
        </w:rPr>
      </w:pPr>
      <w:r w:rsidRPr="00A96D10">
        <w:rPr>
          <w:rFonts w:cstheme="minorHAnsi"/>
          <w:i/>
          <w:iCs/>
        </w:rPr>
        <w:t>A javaslat a MANIT elnökség</w:t>
      </w:r>
      <w:r w:rsidR="00DD332F" w:rsidRPr="00A96D10">
        <w:rPr>
          <w:rFonts w:cstheme="minorHAnsi"/>
          <w:i/>
          <w:iCs/>
        </w:rPr>
        <w:t>ének</w:t>
      </w:r>
      <w:r w:rsidR="006B400E" w:rsidRPr="00A96D10">
        <w:rPr>
          <w:rFonts w:cstheme="minorHAnsi"/>
          <w:i/>
          <w:iCs/>
        </w:rPr>
        <w:t xml:space="preserve"> és dr. Kulcsár Andrea oltás szakértő</w:t>
      </w:r>
      <w:r w:rsidR="00DD332F" w:rsidRPr="00A96D10">
        <w:rPr>
          <w:rFonts w:cstheme="minorHAnsi"/>
          <w:i/>
          <w:iCs/>
        </w:rPr>
        <w:t xml:space="preserve"> jóváhagyásával készült 2021 </w:t>
      </w:r>
      <w:r w:rsidR="00E843E7">
        <w:rPr>
          <w:rFonts w:cstheme="minorHAnsi"/>
          <w:i/>
          <w:iCs/>
        </w:rPr>
        <w:t>októberében</w:t>
      </w:r>
      <w:r w:rsidR="006B400E" w:rsidRPr="00A96D10">
        <w:rPr>
          <w:rFonts w:cstheme="minorHAnsi"/>
          <w:i/>
          <w:iCs/>
        </w:rPr>
        <w:t>. Az anyag rendszeres frissítését tervezzük a felmerülő új tudományos adatok függvényében</w:t>
      </w:r>
      <w:r w:rsidR="00DD332F" w:rsidRPr="00A96D10">
        <w:rPr>
          <w:rFonts w:cstheme="minorHAnsi"/>
          <w:i/>
          <w:iCs/>
        </w:rPr>
        <w:t xml:space="preserve">. </w:t>
      </w:r>
    </w:p>
    <w:p w14:paraId="361ABA79" w14:textId="77777777" w:rsidR="00801899" w:rsidRPr="00BD151C" w:rsidRDefault="00801899" w:rsidP="005828D7">
      <w:pPr>
        <w:spacing w:line="240" w:lineRule="auto"/>
        <w:jc w:val="both"/>
        <w:rPr>
          <w:rFonts w:cstheme="minorHAnsi"/>
        </w:rPr>
      </w:pPr>
    </w:p>
    <w:sectPr w:rsidR="00801899" w:rsidRPr="00BD151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7765" w14:textId="77777777" w:rsidR="00AB18B6" w:rsidRDefault="00AB18B6">
      <w:pPr>
        <w:spacing w:after="0" w:line="240" w:lineRule="auto"/>
      </w:pPr>
      <w:r>
        <w:separator/>
      </w:r>
    </w:p>
  </w:endnote>
  <w:endnote w:type="continuationSeparator" w:id="0">
    <w:p w14:paraId="69D23C8F" w14:textId="77777777" w:rsidR="00AB18B6" w:rsidRDefault="00AB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37950AE" w14:paraId="4E98106F" w14:textId="77777777" w:rsidTr="037950AE">
      <w:tc>
        <w:tcPr>
          <w:tcW w:w="3020" w:type="dxa"/>
        </w:tcPr>
        <w:p w14:paraId="5A9E3268" w14:textId="1768F307" w:rsidR="037950AE" w:rsidRDefault="037950AE" w:rsidP="037950AE">
          <w:pPr>
            <w:pStyle w:val="lfej"/>
            <w:ind w:left="-115"/>
          </w:pPr>
        </w:p>
      </w:tc>
      <w:tc>
        <w:tcPr>
          <w:tcW w:w="3020" w:type="dxa"/>
        </w:tcPr>
        <w:p w14:paraId="72EAF5E4" w14:textId="056C57C0" w:rsidR="037950AE" w:rsidRDefault="037950AE" w:rsidP="037950AE">
          <w:pPr>
            <w:pStyle w:val="lfej"/>
            <w:jc w:val="center"/>
          </w:pPr>
        </w:p>
      </w:tc>
      <w:tc>
        <w:tcPr>
          <w:tcW w:w="3020" w:type="dxa"/>
        </w:tcPr>
        <w:p w14:paraId="4CCAECFB" w14:textId="109A593D" w:rsidR="037950AE" w:rsidRDefault="037950AE" w:rsidP="037950AE">
          <w:pPr>
            <w:pStyle w:val="lfej"/>
            <w:ind w:right="-115"/>
            <w:jc w:val="right"/>
          </w:pPr>
          <w:r>
            <w:fldChar w:fldCharType="begin"/>
          </w:r>
          <w:r>
            <w:instrText>PAGE</w:instrText>
          </w:r>
          <w:r>
            <w:fldChar w:fldCharType="separate"/>
          </w:r>
          <w:r w:rsidR="009B3618">
            <w:rPr>
              <w:noProof/>
            </w:rPr>
            <w:t>1</w:t>
          </w:r>
          <w:r>
            <w:fldChar w:fldCharType="end"/>
          </w:r>
        </w:p>
      </w:tc>
    </w:tr>
  </w:tbl>
  <w:p w14:paraId="42D5453A" w14:textId="45F5D776" w:rsidR="037950AE" w:rsidRDefault="037950AE" w:rsidP="037950A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1526" w14:textId="77777777" w:rsidR="00AB18B6" w:rsidRDefault="00AB18B6">
      <w:pPr>
        <w:spacing w:after="0" w:line="240" w:lineRule="auto"/>
      </w:pPr>
      <w:r>
        <w:separator/>
      </w:r>
    </w:p>
  </w:footnote>
  <w:footnote w:type="continuationSeparator" w:id="0">
    <w:p w14:paraId="35D737B9" w14:textId="77777777" w:rsidR="00AB18B6" w:rsidRDefault="00AB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37950AE" w14:paraId="436D1835" w14:textId="77777777" w:rsidTr="037950AE">
      <w:tc>
        <w:tcPr>
          <w:tcW w:w="3020" w:type="dxa"/>
        </w:tcPr>
        <w:p w14:paraId="2BFE031B" w14:textId="309FB6B0" w:rsidR="037950AE" w:rsidRDefault="037950AE" w:rsidP="037950AE">
          <w:pPr>
            <w:pStyle w:val="lfej"/>
            <w:ind w:left="-115"/>
          </w:pPr>
        </w:p>
      </w:tc>
      <w:tc>
        <w:tcPr>
          <w:tcW w:w="3020" w:type="dxa"/>
        </w:tcPr>
        <w:p w14:paraId="28CE5D2E" w14:textId="57BAF8E3" w:rsidR="037950AE" w:rsidRDefault="037950AE" w:rsidP="037950AE">
          <w:pPr>
            <w:pStyle w:val="lfej"/>
            <w:jc w:val="center"/>
          </w:pPr>
        </w:p>
      </w:tc>
      <w:tc>
        <w:tcPr>
          <w:tcW w:w="3020" w:type="dxa"/>
        </w:tcPr>
        <w:p w14:paraId="61DAE5E7" w14:textId="1E1C9E75" w:rsidR="037950AE" w:rsidRDefault="037950AE" w:rsidP="037950AE">
          <w:pPr>
            <w:pStyle w:val="lfej"/>
            <w:ind w:right="-115"/>
            <w:jc w:val="right"/>
          </w:pPr>
        </w:p>
      </w:tc>
    </w:tr>
  </w:tbl>
  <w:p w14:paraId="72EF6DCB" w14:textId="59AEE045" w:rsidR="037950AE" w:rsidRDefault="037950AE" w:rsidP="037950A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F74"/>
    <w:multiLevelType w:val="multilevel"/>
    <w:tmpl w:val="2D80F916"/>
    <w:lvl w:ilvl="0">
      <w:start w:val="1"/>
      <w:numFmt w:val="bullet"/>
      <w:lvlText w:val=""/>
      <w:lvlJc w:val="left"/>
      <w:pPr>
        <w:ind w:left="720" w:hanging="360"/>
      </w:pPr>
      <w:rPr>
        <w:rFonts w:ascii="Symbol" w:hAnsi="Symbol" w:cs="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EB3B8F"/>
    <w:multiLevelType w:val="hybridMultilevel"/>
    <w:tmpl w:val="4B6A8776"/>
    <w:lvl w:ilvl="0" w:tplc="19682A7A">
      <w:start w:val="1"/>
      <w:numFmt w:val="decimal"/>
      <w:lvlText w:val="%1."/>
      <w:lvlJc w:val="left"/>
      <w:pPr>
        <w:ind w:left="720" w:hanging="360"/>
      </w:pPr>
    </w:lvl>
    <w:lvl w:ilvl="1" w:tplc="05B447B6">
      <w:start w:val="1"/>
      <w:numFmt w:val="lowerLetter"/>
      <w:lvlText w:val="%2."/>
      <w:lvlJc w:val="left"/>
      <w:pPr>
        <w:ind w:left="1440" w:hanging="360"/>
      </w:pPr>
    </w:lvl>
    <w:lvl w:ilvl="2" w:tplc="A7D2942E">
      <w:start w:val="1"/>
      <w:numFmt w:val="lowerRoman"/>
      <w:lvlText w:val="%3."/>
      <w:lvlJc w:val="right"/>
      <w:pPr>
        <w:ind w:left="2160" w:hanging="180"/>
      </w:pPr>
    </w:lvl>
    <w:lvl w:ilvl="3" w:tplc="577EE560">
      <w:start w:val="1"/>
      <w:numFmt w:val="decimal"/>
      <w:lvlText w:val="%4."/>
      <w:lvlJc w:val="left"/>
      <w:pPr>
        <w:ind w:left="2880" w:hanging="360"/>
      </w:pPr>
    </w:lvl>
    <w:lvl w:ilvl="4" w:tplc="18C6CA7A">
      <w:start w:val="1"/>
      <w:numFmt w:val="lowerLetter"/>
      <w:lvlText w:val="%5."/>
      <w:lvlJc w:val="left"/>
      <w:pPr>
        <w:ind w:left="3600" w:hanging="360"/>
      </w:pPr>
    </w:lvl>
    <w:lvl w:ilvl="5" w:tplc="244835F6">
      <w:start w:val="1"/>
      <w:numFmt w:val="lowerRoman"/>
      <w:lvlText w:val="%6."/>
      <w:lvlJc w:val="right"/>
      <w:pPr>
        <w:ind w:left="4320" w:hanging="180"/>
      </w:pPr>
    </w:lvl>
    <w:lvl w:ilvl="6" w:tplc="8CCC0FC2">
      <w:start w:val="1"/>
      <w:numFmt w:val="decimal"/>
      <w:lvlText w:val="%7."/>
      <w:lvlJc w:val="left"/>
      <w:pPr>
        <w:ind w:left="5040" w:hanging="360"/>
      </w:pPr>
    </w:lvl>
    <w:lvl w:ilvl="7" w:tplc="D9AA0240">
      <w:start w:val="1"/>
      <w:numFmt w:val="lowerLetter"/>
      <w:lvlText w:val="%8."/>
      <w:lvlJc w:val="left"/>
      <w:pPr>
        <w:ind w:left="5760" w:hanging="360"/>
      </w:pPr>
    </w:lvl>
    <w:lvl w:ilvl="8" w:tplc="A2E6E8F8">
      <w:start w:val="1"/>
      <w:numFmt w:val="lowerRoman"/>
      <w:lvlText w:val="%9."/>
      <w:lvlJc w:val="right"/>
      <w:pPr>
        <w:ind w:left="6480" w:hanging="180"/>
      </w:pPr>
    </w:lvl>
  </w:abstractNum>
  <w:abstractNum w:abstractNumId="2" w15:restartNumberingAfterBreak="0">
    <w:nsid w:val="0FA60C25"/>
    <w:multiLevelType w:val="hybridMultilevel"/>
    <w:tmpl w:val="3C6A0544"/>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 w15:restartNumberingAfterBreak="0">
    <w:nsid w:val="10194097"/>
    <w:multiLevelType w:val="hybridMultilevel"/>
    <w:tmpl w:val="3FECAFE0"/>
    <w:lvl w:ilvl="0" w:tplc="CEEAA37C">
      <w:start w:val="1"/>
      <w:numFmt w:val="bullet"/>
      <w:lvlText w:val=""/>
      <w:lvlJc w:val="left"/>
      <w:pPr>
        <w:ind w:left="720" w:hanging="360"/>
      </w:pPr>
      <w:rPr>
        <w:rFonts w:ascii="Symbol" w:hAnsi="Symbol" w:hint="default"/>
      </w:rPr>
    </w:lvl>
    <w:lvl w:ilvl="1" w:tplc="6090137A">
      <w:start w:val="1"/>
      <w:numFmt w:val="bullet"/>
      <w:lvlText w:val="o"/>
      <w:lvlJc w:val="left"/>
      <w:pPr>
        <w:ind w:left="1440" w:hanging="360"/>
      </w:pPr>
      <w:rPr>
        <w:rFonts w:ascii="Courier New" w:hAnsi="Courier New" w:hint="default"/>
      </w:rPr>
    </w:lvl>
    <w:lvl w:ilvl="2" w:tplc="7660B412">
      <w:start w:val="1"/>
      <w:numFmt w:val="bullet"/>
      <w:lvlText w:val=""/>
      <w:lvlJc w:val="left"/>
      <w:pPr>
        <w:ind w:left="2160" w:hanging="360"/>
      </w:pPr>
      <w:rPr>
        <w:rFonts w:ascii="Wingdings" w:hAnsi="Wingdings" w:hint="default"/>
      </w:rPr>
    </w:lvl>
    <w:lvl w:ilvl="3" w:tplc="A8FAEEA0">
      <w:start w:val="1"/>
      <w:numFmt w:val="bullet"/>
      <w:lvlText w:val=""/>
      <w:lvlJc w:val="left"/>
      <w:pPr>
        <w:ind w:left="2880" w:hanging="360"/>
      </w:pPr>
      <w:rPr>
        <w:rFonts w:ascii="Symbol" w:hAnsi="Symbol" w:hint="default"/>
      </w:rPr>
    </w:lvl>
    <w:lvl w:ilvl="4" w:tplc="38125DD6">
      <w:start w:val="1"/>
      <w:numFmt w:val="bullet"/>
      <w:lvlText w:val="o"/>
      <w:lvlJc w:val="left"/>
      <w:pPr>
        <w:ind w:left="3600" w:hanging="360"/>
      </w:pPr>
      <w:rPr>
        <w:rFonts w:ascii="Courier New" w:hAnsi="Courier New" w:hint="default"/>
      </w:rPr>
    </w:lvl>
    <w:lvl w:ilvl="5" w:tplc="59C2E4C6">
      <w:start w:val="1"/>
      <w:numFmt w:val="bullet"/>
      <w:lvlText w:val=""/>
      <w:lvlJc w:val="left"/>
      <w:pPr>
        <w:ind w:left="4320" w:hanging="360"/>
      </w:pPr>
      <w:rPr>
        <w:rFonts w:ascii="Wingdings" w:hAnsi="Wingdings" w:hint="default"/>
      </w:rPr>
    </w:lvl>
    <w:lvl w:ilvl="6" w:tplc="FCC01026">
      <w:start w:val="1"/>
      <w:numFmt w:val="bullet"/>
      <w:lvlText w:val=""/>
      <w:lvlJc w:val="left"/>
      <w:pPr>
        <w:ind w:left="5040" w:hanging="360"/>
      </w:pPr>
      <w:rPr>
        <w:rFonts w:ascii="Symbol" w:hAnsi="Symbol" w:hint="default"/>
      </w:rPr>
    </w:lvl>
    <w:lvl w:ilvl="7" w:tplc="C82E120A">
      <w:start w:val="1"/>
      <w:numFmt w:val="bullet"/>
      <w:lvlText w:val="o"/>
      <w:lvlJc w:val="left"/>
      <w:pPr>
        <w:ind w:left="5760" w:hanging="360"/>
      </w:pPr>
      <w:rPr>
        <w:rFonts w:ascii="Courier New" w:hAnsi="Courier New" w:hint="default"/>
      </w:rPr>
    </w:lvl>
    <w:lvl w:ilvl="8" w:tplc="6C684E08">
      <w:start w:val="1"/>
      <w:numFmt w:val="bullet"/>
      <w:lvlText w:val=""/>
      <w:lvlJc w:val="left"/>
      <w:pPr>
        <w:ind w:left="6480" w:hanging="360"/>
      </w:pPr>
      <w:rPr>
        <w:rFonts w:ascii="Wingdings" w:hAnsi="Wingdings" w:hint="default"/>
      </w:rPr>
    </w:lvl>
  </w:abstractNum>
  <w:abstractNum w:abstractNumId="4" w15:restartNumberingAfterBreak="0">
    <w:nsid w:val="11227060"/>
    <w:multiLevelType w:val="multilevel"/>
    <w:tmpl w:val="A0DA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D1204"/>
    <w:multiLevelType w:val="hybridMultilevel"/>
    <w:tmpl w:val="B0C86300"/>
    <w:lvl w:ilvl="0" w:tplc="466ACFB0">
      <w:start w:val="1"/>
      <w:numFmt w:val="none"/>
      <w:lvlText w:val="2."/>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654658"/>
    <w:multiLevelType w:val="multilevel"/>
    <w:tmpl w:val="BD62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7F0A1D"/>
    <w:multiLevelType w:val="hybridMultilevel"/>
    <w:tmpl w:val="3F7E107A"/>
    <w:lvl w:ilvl="0" w:tplc="9A2893F8">
      <w:start w:val="1"/>
      <w:numFmt w:val="bullet"/>
      <w:lvlText w:val=""/>
      <w:lvlJc w:val="left"/>
      <w:pPr>
        <w:ind w:left="720" w:hanging="360"/>
      </w:pPr>
      <w:rPr>
        <w:rFonts w:ascii="Symbol" w:hAnsi="Symbol" w:cs="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D690DCF"/>
    <w:multiLevelType w:val="hybridMultilevel"/>
    <w:tmpl w:val="F8462932"/>
    <w:lvl w:ilvl="0" w:tplc="22A8EADA">
      <w:start w:val="1"/>
      <w:numFmt w:val="bullet"/>
      <w:lvlText w:val=""/>
      <w:lvlJc w:val="left"/>
      <w:pPr>
        <w:ind w:left="1068" w:hanging="360"/>
      </w:pPr>
      <w:rPr>
        <w:rFonts w:ascii="Symbol" w:hAnsi="Symbol" w:cs="Wingdings" w:hint="default"/>
        <w:color w:val="auto"/>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15:restartNumberingAfterBreak="0">
    <w:nsid w:val="1E4E5F69"/>
    <w:multiLevelType w:val="hybridMultilevel"/>
    <w:tmpl w:val="FAB832C2"/>
    <w:lvl w:ilvl="0" w:tplc="9A2893F8">
      <w:start w:val="1"/>
      <w:numFmt w:val="bullet"/>
      <w:lvlText w:val=""/>
      <w:lvlJc w:val="left"/>
      <w:pPr>
        <w:ind w:left="720" w:hanging="360"/>
      </w:pPr>
      <w:rPr>
        <w:rFonts w:ascii="Symbol" w:hAnsi="Symbol" w:cs="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00D44B9"/>
    <w:multiLevelType w:val="multilevel"/>
    <w:tmpl w:val="6620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8521BB"/>
    <w:multiLevelType w:val="hybridMultilevel"/>
    <w:tmpl w:val="2E6E7772"/>
    <w:lvl w:ilvl="0" w:tplc="33B616B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C504654"/>
    <w:multiLevelType w:val="multilevel"/>
    <w:tmpl w:val="97E6F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274F2B"/>
    <w:multiLevelType w:val="hybridMultilevel"/>
    <w:tmpl w:val="3BA0FA80"/>
    <w:lvl w:ilvl="0" w:tplc="9A2893F8">
      <w:start w:val="1"/>
      <w:numFmt w:val="bullet"/>
      <w:lvlText w:val=""/>
      <w:lvlJc w:val="left"/>
      <w:pPr>
        <w:ind w:left="1146" w:hanging="360"/>
      </w:pPr>
      <w:rPr>
        <w:rFonts w:ascii="Symbol" w:hAnsi="Symbol" w:cs="Wingdings" w:hint="default"/>
        <w:color w:val="auto"/>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4" w15:restartNumberingAfterBreak="0">
    <w:nsid w:val="3029441C"/>
    <w:multiLevelType w:val="hybridMultilevel"/>
    <w:tmpl w:val="73CCB3A8"/>
    <w:lvl w:ilvl="0" w:tplc="22A8EADA">
      <w:start w:val="1"/>
      <w:numFmt w:val="bullet"/>
      <w:lvlText w:val=""/>
      <w:lvlJc w:val="left"/>
      <w:pPr>
        <w:ind w:left="720" w:hanging="360"/>
      </w:pPr>
      <w:rPr>
        <w:rFonts w:ascii="Symbol" w:hAnsi="Symbol" w:cs="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20D1DAF"/>
    <w:multiLevelType w:val="multilevel"/>
    <w:tmpl w:val="E8E6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5C0E0C"/>
    <w:multiLevelType w:val="hybridMultilevel"/>
    <w:tmpl w:val="0B2AB7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4EF5762"/>
    <w:multiLevelType w:val="multilevel"/>
    <w:tmpl w:val="4964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FB154A"/>
    <w:multiLevelType w:val="multilevel"/>
    <w:tmpl w:val="FE56D5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095578"/>
    <w:multiLevelType w:val="multilevel"/>
    <w:tmpl w:val="6EE00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9A03A2"/>
    <w:multiLevelType w:val="multilevel"/>
    <w:tmpl w:val="019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FB65A7"/>
    <w:multiLevelType w:val="hybridMultilevel"/>
    <w:tmpl w:val="FDE4DBDC"/>
    <w:lvl w:ilvl="0" w:tplc="040E0005">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52B24D1"/>
    <w:multiLevelType w:val="hybridMultilevel"/>
    <w:tmpl w:val="5FC43532"/>
    <w:lvl w:ilvl="0" w:tplc="223CAA52">
      <w:start w:val="1"/>
      <w:numFmt w:val="bullet"/>
      <w:lvlText w:val=""/>
      <w:lvlJc w:val="left"/>
      <w:pPr>
        <w:ind w:left="720" w:hanging="360"/>
      </w:pPr>
      <w:rPr>
        <w:rFonts w:ascii="Symbol" w:hAnsi="Symbol" w:hint="default"/>
      </w:rPr>
    </w:lvl>
    <w:lvl w:ilvl="1" w:tplc="A34410FC">
      <w:start w:val="1"/>
      <w:numFmt w:val="bullet"/>
      <w:lvlText w:val="o"/>
      <w:lvlJc w:val="left"/>
      <w:pPr>
        <w:ind w:left="1440" w:hanging="360"/>
      </w:pPr>
      <w:rPr>
        <w:rFonts w:ascii="Courier New" w:hAnsi="Courier New" w:hint="default"/>
      </w:rPr>
    </w:lvl>
    <w:lvl w:ilvl="2" w:tplc="D0A4AE90">
      <w:start w:val="1"/>
      <w:numFmt w:val="bullet"/>
      <w:lvlText w:val=""/>
      <w:lvlJc w:val="left"/>
      <w:pPr>
        <w:ind w:left="2160" w:hanging="360"/>
      </w:pPr>
      <w:rPr>
        <w:rFonts w:ascii="Wingdings" w:hAnsi="Wingdings" w:hint="default"/>
      </w:rPr>
    </w:lvl>
    <w:lvl w:ilvl="3" w:tplc="7848D00A">
      <w:start w:val="1"/>
      <w:numFmt w:val="bullet"/>
      <w:lvlText w:val=""/>
      <w:lvlJc w:val="left"/>
      <w:pPr>
        <w:ind w:left="2880" w:hanging="360"/>
      </w:pPr>
      <w:rPr>
        <w:rFonts w:ascii="Symbol" w:hAnsi="Symbol" w:hint="default"/>
      </w:rPr>
    </w:lvl>
    <w:lvl w:ilvl="4" w:tplc="CECE5816">
      <w:start w:val="1"/>
      <w:numFmt w:val="bullet"/>
      <w:lvlText w:val="o"/>
      <w:lvlJc w:val="left"/>
      <w:pPr>
        <w:ind w:left="3600" w:hanging="360"/>
      </w:pPr>
      <w:rPr>
        <w:rFonts w:ascii="Courier New" w:hAnsi="Courier New" w:hint="default"/>
      </w:rPr>
    </w:lvl>
    <w:lvl w:ilvl="5" w:tplc="AF62B4CE">
      <w:start w:val="1"/>
      <w:numFmt w:val="bullet"/>
      <w:lvlText w:val=""/>
      <w:lvlJc w:val="left"/>
      <w:pPr>
        <w:ind w:left="4320" w:hanging="360"/>
      </w:pPr>
      <w:rPr>
        <w:rFonts w:ascii="Wingdings" w:hAnsi="Wingdings" w:hint="default"/>
      </w:rPr>
    </w:lvl>
    <w:lvl w:ilvl="6" w:tplc="CEFC4A06">
      <w:start w:val="1"/>
      <w:numFmt w:val="bullet"/>
      <w:lvlText w:val=""/>
      <w:lvlJc w:val="left"/>
      <w:pPr>
        <w:ind w:left="5040" w:hanging="360"/>
      </w:pPr>
      <w:rPr>
        <w:rFonts w:ascii="Symbol" w:hAnsi="Symbol" w:hint="default"/>
      </w:rPr>
    </w:lvl>
    <w:lvl w:ilvl="7" w:tplc="1ADCD7F8">
      <w:start w:val="1"/>
      <w:numFmt w:val="bullet"/>
      <w:lvlText w:val="o"/>
      <w:lvlJc w:val="left"/>
      <w:pPr>
        <w:ind w:left="5760" w:hanging="360"/>
      </w:pPr>
      <w:rPr>
        <w:rFonts w:ascii="Courier New" w:hAnsi="Courier New" w:hint="default"/>
      </w:rPr>
    </w:lvl>
    <w:lvl w:ilvl="8" w:tplc="CADAB3F2">
      <w:start w:val="1"/>
      <w:numFmt w:val="bullet"/>
      <w:lvlText w:val=""/>
      <w:lvlJc w:val="left"/>
      <w:pPr>
        <w:ind w:left="6480" w:hanging="360"/>
      </w:pPr>
      <w:rPr>
        <w:rFonts w:ascii="Wingdings" w:hAnsi="Wingdings" w:hint="default"/>
      </w:rPr>
    </w:lvl>
  </w:abstractNum>
  <w:abstractNum w:abstractNumId="23" w15:restartNumberingAfterBreak="0">
    <w:nsid w:val="593A3C66"/>
    <w:multiLevelType w:val="multilevel"/>
    <w:tmpl w:val="281C3550"/>
    <w:lvl w:ilvl="0">
      <w:start w:val="1"/>
      <w:numFmt w:val="bullet"/>
      <w:lvlText w:val=""/>
      <w:lvlJc w:val="left"/>
      <w:pPr>
        <w:ind w:left="720" w:hanging="360"/>
      </w:pPr>
      <w:rPr>
        <w:rFonts w:ascii="Symbol" w:hAnsi="Symbol" w:cs="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2D1E69"/>
    <w:multiLevelType w:val="hybridMultilevel"/>
    <w:tmpl w:val="88C6BD1A"/>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13D2A5E"/>
    <w:multiLevelType w:val="multilevel"/>
    <w:tmpl w:val="1CAC51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C537B8"/>
    <w:multiLevelType w:val="hybridMultilevel"/>
    <w:tmpl w:val="98A8E140"/>
    <w:lvl w:ilvl="0" w:tplc="040E0005">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52E50D8"/>
    <w:multiLevelType w:val="hybridMultilevel"/>
    <w:tmpl w:val="6B4A67AC"/>
    <w:lvl w:ilvl="0" w:tplc="A51CAF8A">
      <w:start w:val="1"/>
      <w:numFmt w:val="decimal"/>
      <w:lvlText w:val="%1."/>
      <w:lvlJc w:val="left"/>
      <w:pPr>
        <w:ind w:left="720" w:hanging="360"/>
      </w:pPr>
    </w:lvl>
    <w:lvl w:ilvl="1" w:tplc="F0C0AD6A">
      <w:start w:val="1"/>
      <w:numFmt w:val="lowerLetter"/>
      <w:lvlText w:val="%2."/>
      <w:lvlJc w:val="left"/>
      <w:pPr>
        <w:ind w:left="1440" w:hanging="360"/>
      </w:pPr>
    </w:lvl>
    <w:lvl w:ilvl="2" w:tplc="603C715A">
      <w:start w:val="1"/>
      <w:numFmt w:val="lowerRoman"/>
      <w:lvlText w:val="%3."/>
      <w:lvlJc w:val="right"/>
      <w:pPr>
        <w:ind w:left="2160" w:hanging="180"/>
      </w:pPr>
    </w:lvl>
    <w:lvl w:ilvl="3" w:tplc="0622B9CA">
      <w:start w:val="1"/>
      <w:numFmt w:val="decimal"/>
      <w:lvlText w:val="%4."/>
      <w:lvlJc w:val="left"/>
      <w:pPr>
        <w:ind w:left="2880" w:hanging="360"/>
      </w:pPr>
    </w:lvl>
    <w:lvl w:ilvl="4" w:tplc="17D6BF82">
      <w:start w:val="1"/>
      <w:numFmt w:val="lowerLetter"/>
      <w:lvlText w:val="%5."/>
      <w:lvlJc w:val="left"/>
      <w:pPr>
        <w:ind w:left="3600" w:hanging="360"/>
      </w:pPr>
    </w:lvl>
    <w:lvl w:ilvl="5" w:tplc="56C06EEC">
      <w:start w:val="1"/>
      <w:numFmt w:val="lowerRoman"/>
      <w:lvlText w:val="%6."/>
      <w:lvlJc w:val="right"/>
      <w:pPr>
        <w:ind w:left="4320" w:hanging="180"/>
      </w:pPr>
    </w:lvl>
    <w:lvl w:ilvl="6" w:tplc="CD7A6334">
      <w:start w:val="1"/>
      <w:numFmt w:val="decimal"/>
      <w:lvlText w:val="%7."/>
      <w:lvlJc w:val="left"/>
      <w:pPr>
        <w:ind w:left="5040" w:hanging="360"/>
      </w:pPr>
    </w:lvl>
    <w:lvl w:ilvl="7" w:tplc="4FE43E70">
      <w:start w:val="1"/>
      <w:numFmt w:val="lowerLetter"/>
      <w:lvlText w:val="%8."/>
      <w:lvlJc w:val="left"/>
      <w:pPr>
        <w:ind w:left="5760" w:hanging="360"/>
      </w:pPr>
    </w:lvl>
    <w:lvl w:ilvl="8" w:tplc="C6A090A0">
      <w:start w:val="1"/>
      <w:numFmt w:val="lowerRoman"/>
      <w:lvlText w:val="%9."/>
      <w:lvlJc w:val="right"/>
      <w:pPr>
        <w:ind w:left="6480" w:hanging="180"/>
      </w:pPr>
    </w:lvl>
  </w:abstractNum>
  <w:abstractNum w:abstractNumId="28" w15:restartNumberingAfterBreak="0">
    <w:nsid w:val="677C3BEE"/>
    <w:multiLevelType w:val="multilevel"/>
    <w:tmpl w:val="B5F2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8D4807"/>
    <w:multiLevelType w:val="hybridMultilevel"/>
    <w:tmpl w:val="CD2A4274"/>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0" w15:restartNumberingAfterBreak="0">
    <w:nsid w:val="72370A70"/>
    <w:multiLevelType w:val="hybridMultilevel"/>
    <w:tmpl w:val="FCB656CA"/>
    <w:lvl w:ilvl="0" w:tplc="9A2893F8">
      <w:start w:val="1"/>
      <w:numFmt w:val="bullet"/>
      <w:lvlText w:val=""/>
      <w:lvlJc w:val="left"/>
      <w:pPr>
        <w:ind w:left="720" w:hanging="360"/>
      </w:pPr>
      <w:rPr>
        <w:rFonts w:ascii="Symbol" w:hAnsi="Symbol" w:cs="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45A6F10"/>
    <w:multiLevelType w:val="hybridMultilevel"/>
    <w:tmpl w:val="01428FEC"/>
    <w:lvl w:ilvl="0" w:tplc="DEE47776">
      <w:start w:val="1"/>
      <w:numFmt w:val="bullet"/>
      <w:lvlText w:val=""/>
      <w:lvlJc w:val="left"/>
      <w:pPr>
        <w:ind w:left="720" w:hanging="360"/>
      </w:pPr>
      <w:rPr>
        <w:rFonts w:ascii="Symbol" w:hAnsi="Symbol" w:hint="default"/>
      </w:rPr>
    </w:lvl>
    <w:lvl w:ilvl="1" w:tplc="4AC6ED60">
      <w:start w:val="1"/>
      <w:numFmt w:val="bullet"/>
      <w:lvlText w:val="o"/>
      <w:lvlJc w:val="left"/>
      <w:pPr>
        <w:ind w:left="1440" w:hanging="360"/>
      </w:pPr>
      <w:rPr>
        <w:rFonts w:ascii="Courier New" w:hAnsi="Courier New" w:hint="default"/>
      </w:rPr>
    </w:lvl>
    <w:lvl w:ilvl="2" w:tplc="FB30131A">
      <w:start w:val="1"/>
      <w:numFmt w:val="bullet"/>
      <w:lvlText w:val=""/>
      <w:lvlJc w:val="left"/>
      <w:pPr>
        <w:ind w:left="2160" w:hanging="360"/>
      </w:pPr>
      <w:rPr>
        <w:rFonts w:ascii="Wingdings" w:hAnsi="Wingdings" w:hint="default"/>
      </w:rPr>
    </w:lvl>
    <w:lvl w:ilvl="3" w:tplc="166A21E0">
      <w:start w:val="1"/>
      <w:numFmt w:val="bullet"/>
      <w:lvlText w:val=""/>
      <w:lvlJc w:val="left"/>
      <w:pPr>
        <w:ind w:left="2880" w:hanging="360"/>
      </w:pPr>
      <w:rPr>
        <w:rFonts w:ascii="Symbol" w:hAnsi="Symbol" w:hint="default"/>
      </w:rPr>
    </w:lvl>
    <w:lvl w:ilvl="4" w:tplc="09C650BE">
      <w:start w:val="1"/>
      <w:numFmt w:val="bullet"/>
      <w:lvlText w:val="o"/>
      <w:lvlJc w:val="left"/>
      <w:pPr>
        <w:ind w:left="3600" w:hanging="360"/>
      </w:pPr>
      <w:rPr>
        <w:rFonts w:ascii="Courier New" w:hAnsi="Courier New" w:hint="default"/>
      </w:rPr>
    </w:lvl>
    <w:lvl w:ilvl="5" w:tplc="ECD8CCDE">
      <w:start w:val="1"/>
      <w:numFmt w:val="bullet"/>
      <w:lvlText w:val=""/>
      <w:lvlJc w:val="left"/>
      <w:pPr>
        <w:ind w:left="4320" w:hanging="360"/>
      </w:pPr>
      <w:rPr>
        <w:rFonts w:ascii="Wingdings" w:hAnsi="Wingdings" w:hint="default"/>
      </w:rPr>
    </w:lvl>
    <w:lvl w:ilvl="6" w:tplc="0D0E1AAE">
      <w:start w:val="1"/>
      <w:numFmt w:val="bullet"/>
      <w:lvlText w:val=""/>
      <w:lvlJc w:val="left"/>
      <w:pPr>
        <w:ind w:left="5040" w:hanging="360"/>
      </w:pPr>
      <w:rPr>
        <w:rFonts w:ascii="Symbol" w:hAnsi="Symbol" w:hint="default"/>
      </w:rPr>
    </w:lvl>
    <w:lvl w:ilvl="7" w:tplc="DDD0F9BC">
      <w:start w:val="1"/>
      <w:numFmt w:val="bullet"/>
      <w:lvlText w:val="o"/>
      <w:lvlJc w:val="left"/>
      <w:pPr>
        <w:ind w:left="5760" w:hanging="360"/>
      </w:pPr>
      <w:rPr>
        <w:rFonts w:ascii="Courier New" w:hAnsi="Courier New" w:hint="default"/>
      </w:rPr>
    </w:lvl>
    <w:lvl w:ilvl="8" w:tplc="51488F94">
      <w:start w:val="1"/>
      <w:numFmt w:val="bullet"/>
      <w:lvlText w:val=""/>
      <w:lvlJc w:val="left"/>
      <w:pPr>
        <w:ind w:left="6480" w:hanging="360"/>
      </w:pPr>
      <w:rPr>
        <w:rFonts w:ascii="Wingdings" w:hAnsi="Wingdings" w:hint="default"/>
      </w:rPr>
    </w:lvl>
  </w:abstractNum>
  <w:abstractNum w:abstractNumId="32" w15:restartNumberingAfterBreak="0">
    <w:nsid w:val="75157BD9"/>
    <w:multiLevelType w:val="multilevel"/>
    <w:tmpl w:val="082A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1401EB"/>
    <w:multiLevelType w:val="multilevel"/>
    <w:tmpl w:val="6240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4901C2"/>
    <w:multiLevelType w:val="hybridMultilevel"/>
    <w:tmpl w:val="2926F30A"/>
    <w:lvl w:ilvl="0" w:tplc="9A2893F8">
      <w:start w:val="1"/>
      <w:numFmt w:val="bullet"/>
      <w:lvlText w:val=""/>
      <w:lvlJc w:val="left"/>
      <w:pPr>
        <w:ind w:left="720" w:hanging="360"/>
      </w:pPr>
      <w:rPr>
        <w:rFonts w:ascii="Symbol" w:hAnsi="Symbol" w:cs="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DAE3E41"/>
    <w:multiLevelType w:val="hybridMultilevel"/>
    <w:tmpl w:val="E4AAD7B4"/>
    <w:lvl w:ilvl="0" w:tplc="9A2893F8">
      <w:start w:val="1"/>
      <w:numFmt w:val="bullet"/>
      <w:lvlText w:val=""/>
      <w:lvlJc w:val="left"/>
      <w:pPr>
        <w:ind w:left="1146" w:hanging="360"/>
      </w:pPr>
      <w:rPr>
        <w:rFonts w:ascii="Symbol" w:hAnsi="Symbol" w:cs="Wingdings" w:hint="default"/>
        <w:color w:val="auto"/>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6" w15:restartNumberingAfterBreak="0">
    <w:nsid w:val="7F8F67B1"/>
    <w:multiLevelType w:val="hybridMultilevel"/>
    <w:tmpl w:val="A1F2545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1"/>
  </w:num>
  <w:num w:numId="4">
    <w:abstractNumId w:val="22"/>
  </w:num>
  <w:num w:numId="5">
    <w:abstractNumId w:val="27"/>
  </w:num>
  <w:num w:numId="6">
    <w:abstractNumId w:val="12"/>
  </w:num>
  <w:num w:numId="7">
    <w:abstractNumId w:val="28"/>
  </w:num>
  <w:num w:numId="8">
    <w:abstractNumId w:val="17"/>
  </w:num>
  <w:num w:numId="9">
    <w:abstractNumId w:val="18"/>
  </w:num>
  <w:num w:numId="10">
    <w:abstractNumId w:val="6"/>
  </w:num>
  <w:num w:numId="11">
    <w:abstractNumId w:val="19"/>
  </w:num>
  <w:num w:numId="12">
    <w:abstractNumId w:val="32"/>
  </w:num>
  <w:num w:numId="13">
    <w:abstractNumId w:val="33"/>
  </w:num>
  <w:num w:numId="14">
    <w:abstractNumId w:val="25"/>
  </w:num>
  <w:num w:numId="15">
    <w:abstractNumId w:val="10"/>
  </w:num>
  <w:num w:numId="16">
    <w:abstractNumId w:val="4"/>
  </w:num>
  <w:num w:numId="17">
    <w:abstractNumId w:val="15"/>
  </w:num>
  <w:num w:numId="18">
    <w:abstractNumId w:val="20"/>
  </w:num>
  <w:num w:numId="19">
    <w:abstractNumId w:val="11"/>
  </w:num>
  <w:num w:numId="20">
    <w:abstractNumId w:val="16"/>
  </w:num>
  <w:num w:numId="21">
    <w:abstractNumId w:val="2"/>
  </w:num>
  <w:num w:numId="22">
    <w:abstractNumId w:val="29"/>
  </w:num>
  <w:num w:numId="23">
    <w:abstractNumId w:val="5"/>
  </w:num>
  <w:num w:numId="24">
    <w:abstractNumId w:val="7"/>
  </w:num>
  <w:num w:numId="25">
    <w:abstractNumId w:val="13"/>
  </w:num>
  <w:num w:numId="26">
    <w:abstractNumId w:val="14"/>
  </w:num>
  <w:num w:numId="27">
    <w:abstractNumId w:val="8"/>
  </w:num>
  <w:num w:numId="28">
    <w:abstractNumId w:val="35"/>
  </w:num>
  <w:num w:numId="29">
    <w:abstractNumId w:val="9"/>
  </w:num>
  <w:num w:numId="30">
    <w:abstractNumId w:val="24"/>
  </w:num>
  <w:num w:numId="31">
    <w:abstractNumId w:val="30"/>
  </w:num>
  <w:num w:numId="32">
    <w:abstractNumId w:val="23"/>
  </w:num>
  <w:num w:numId="33">
    <w:abstractNumId w:val="0"/>
  </w:num>
  <w:num w:numId="34">
    <w:abstractNumId w:val="21"/>
  </w:num>
  <w:num w:numId="35">
    <w:abstractNumId w:val="26"/>
  </w:num>
  <w:num w:numId="36">
    <w:abstractNumId w:val="34"/>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899"/>
    <w:rsid w:val="0000439F"/>
    <w:rsid w:val="00013389"/>
    <w:rsid w:val="00026140"/>
    <w:rsid w:val="00027CB0"/>
    <w:rsid w:val="00040E36"/>
    <w:rsid w:val="0004198A"/>
    <w:rsid w:val="00061A37"/>
    <w:rsid w:val="0006430E"/>
    <w:rsid w:val="000714AC"/>
    <w:rsid w:val="00071AF1"/>
    <w:rsid w:val="000768D2"/>
    <w:rsid w:val="0008129E"/>
    <w:rsid w:val="00081AA1"/>
    <w:rsid w:val="00082CB0"/>
    <w:rsid w:val="00082D71"/>
    <w:rsid w:val="0008535F"/>
    <w:rsid w:val="00086437"/>
    <w:rsid w:val="00094C2D"/>
    <w:rsid w:val="00095286"/>
    <w:rsid w:val="000A122F"/>
    <w:rsid w:val="000A4DD0"/>
    <w:rsid w:val="000A590B"/>
    <w:rsid w:val="000C381E"/>
    <w:rsid w:val="000C515D"/>
    <w:rsid w:val="000C7C8A"/>
    <w:rsid w:val="000D0956"/>
    <w:rsid w:val="000D0B62"/>
    <w:rsid w:val="000D3140"/>
    <w:rsid w:val="000E024A"/>
    <w:rsid w:val="000E3A31"/>
    <w:rsid w:val="000E5A70"/>
    <w:rsid w:val="000F464F"/>
    <w:rsid w:val="000F76C7"/>
    <w:rsid w:val="000F7AA9"/>
    <w:rsid w:val="00103D91"/>
    <w:rsid w:val="0010615B"/>
    <w:rsid w:val="00106D1E"/>
    <w:rsid w:val="0011034D"/>
    <w:rsid w:val="001215E3"/>
    <w:rsid w:val="00132B37"/>
    <w:rsid w:val="00134E46"/>
    <w:rsid w:val="0014073D"/>
    <w:rsid w:val="001459F7"/>
    <w:rsid w:val="00150FDD"/>
    <w:rsid w:val="00151E0E"/>
    <w:rsid w:val="00165D53"/>
    <w:rsid w:val="00165DB9"/>
    <w:rsid w:val="00166A77"/>
    <w:rsid w:val="001729C6"/>
    <w:rsid w:val="00184BE1"/>
    <w:rsid w:val="0019015D"/>
    <w:rsid w:val="001A31F9"/>
    <w:rsid w:val="001A75BA"/>
    <w:rsid w:val="001A7FB6"/>
    <w:rsid w:val="001B0023"/>
    <w:rsid w:val="001B2BA9"/>
    <w:rsid w:val="001B6E8C"/>
    <w:rsid w:val="001C39CC"/>
    <w:rsid w:val="001C74BD"/>
    <w:rsid w:val="001E50E7"/>
    <w:rsid w:val="001E69D2"/>
    <w:rsid w:val="001E6F38"/>
    <w:rsid w:val="001E7D89"/>
    <w:rsid w:val="001F4D46"/>
    <w:rsid w:val="001F764E"/>
    <w:rsid w:val="00200457"/>
    <w:rsid w:val="002046F5"/>
    <w:rsid w:val="00216127"/>
    <w:rsid w:val="00221337"/>
    <w:rsid w:val="002221BA"/>
    <w:rsid w:val="0022527D"/>
    <w:rsid w:val="00241F93"/>
    <w:rsid w:val="00251532"/>
    <w:rsid w:val="00253221"/>
    <w:rsid w:val="00255943"/>
    <w:rsid w:val="00260A71"/>
    <w:rsid w:val="0026315C"/>
    <w:rsid w:val="00275350"/>
    <w:rsid w:val="002760B7"/>
    <w:rsid w:val="00276724"/>
    <w:rsid w:val="00280EB5"/>
    <w:rsid w:val="00282E00"/>
    <w:rsid w:val="002837B1"/>
    <w:rsid w:val="00296CD9"/>
    <w:rsid w:val="002A00E6"/>
    <w:rsid w:val="002A1733"/>
    <w:rsid w:val="002A4C94"/>
    <w:rsid w:val="002A72A6"/>
    <w:rsid w:val="002B0CCD"/>
    <w:rsid w:val="002B39A5"/>
    <w:rsid w:val="002B4365"/>
    <w:rsid w:val="002B5370"/>
    <w:rsid w:val="002B73E0"/>
    <w:rsid w:val="002C257A"/>
    <w:rsid w:val="002C427B"/>
    <w:rsid w:val="002D1D81"/>
    <w:rsid w:val="002F333B"/>
    <w:rsid w:val="002F7647"/>
    <w:rsid w:val="003138C1"/>
    <w:rsid w:val="00320F42"/>
    <w:rsid w:val="003277CB"/>
    <w:rsid w:val="00333F7A"/>
    <w:rsid w:val="003438DF"/>
    <w:rsid w:val="003444AC"/>
    <w:rsid w:val="003474CA"/>
    <w:rsid w:val="00351FC1"/>
    <w:rsid w:val="0035502C"/>
    <w:rsid w:val="003558DC"/>
    <w:rsid w:val="0036006A"/>
    <w:rsid w:val="00360C57"/>
    <w:rsid w:val="0036362D"/>
    <w:rsid w:val="0036401E"/>
    <w:rsid w:val="00370149"/>
    <w:rsid w:val="0037101B"/>
    <w:rsid w:val="00372966"/>
    <w:rsid w:val="00381767"/>
    <w:rsid w:val="0038320D"/>
    <w:rsid w:val="00384EC7"/>
    <w:rsid w:val="00396E86"/>
    <w:rsid w:val="003A05BD"/>
    <w:rsid w:val="003A60CE"/>
    <w:rsid w:val="003B6297"/>
    <w:rsid w:val="003B6A06"/>
    <w:rsid w:val="003B7082"/>
    <w:rsid w:val="003D1803"/>
    <w:rsid w:val="003D2920"/>
    <w:rsid w:val="003D583A"/>
    <w:rsid w:val="003D7571"/>
    <w:rsid w:val="003D7794"/>
    <w:rsid w:val="003D7C43"/>
    <w:rsid w:val="003E5BED"/>
    <w:rsid w:val="003F13FE"/>
    <w:rsid w:val="003F53E7"/>
    <w:rsid w:val="00404C6E"/>
    <w:rsid w:val="0040746A"/>
    <w:rsid w:val="00413FA0"/>
    <w:rsid w:val="00427777"/>
    <w:rsid w:val="00431837"/>
    <w:rsid w:val="0043227C"/>
    <w:rsid w:val="00437AE3"/>
    <w:rsid w:val="00452E3E"/>
    <w:rsid w:val="00455051"/>
    <w:rsid w:val="00471952"/>
    <w:rsid w:val="004817B0"/>
    <w:rsid w:val="00484CB0"/>
    <w:rsid w:val="00497C6D"/>
    <w:rsid w:val="004A5AA7"/>
    <w:rsid w:val="004A5FF6"/>
    <w:rsid w:val="004A6B84"/>
    <w:rsid w:val="004B1AD4"/>
    <w:rsid w:val="004B5234"/>
    <w:rsid w:val="004C2EE6"/>
    <w:rsid w:val="004C7BE8"/>
    <w:rsid w:val="004D41F2"/>
    <w:rsid w:val="004D4EDB"/>
    <w:rsid w:val="004E1721"/>
    <w:rsid w:val="004F187A"/>
    <w:rsid w:val="004F46C1"/>
    <w:rsid w:val="00503133"/>
    <w:rsid w:val="00507B5E"/>
    <w:rsid w:val="00515BB8"/>
    <w:rsid w:val="00530676"/>
    <w:rsid w:val="00537D73"/>
    <w:rsid w:val="00545B74"/>
    <w:rsid w:val="00550A12"/>
    <w:rsid w:val="0055739B"/>
    <w:rsid w:val="005652E5"/>
    <w:rsid w:val="00570944"/>
    <w:rsid w:val="005759DC"/>
    <w:rsid w:val="005828D7"/>
    <w:rsid w:val="00582CFF"/>
    <w:rsid w:val="00586056"/>
    <w:rsid w:val="005A3600"/>
    <w:rsid w:val="005A4F5A"/>
    <w:rsid w:val="005B2521"/>
    <w:rsid w:val="005B4B8E"/>
    <w:rsid w:val="005B67D2"/>
    <w:rsid w:val="005C013C"/>
    <w:rsid w:val="005C100B"/>
    <w:rsid w:val="005C512A"/>
    <w:rsid w:val="005D09BA"/>
    <w:rsid w:val="005E2939"/>
    <w:rsid w:val="005F1451"/>
    <w:rsid w:val="005F1AB5"/>
    <w:rsid w:val="0060647C"/>
    <w:rsid w:val="00607258"/>
    <w:rsid w:val="0060748A"/>
    <w:rsid w:val="00613244"/>
    <w:rsid w:val="006132BF"/>
    <w:rsid w:val="0062140B"/>
    <w:rsid w:val="0062204B"/>
    <w:rsid w:val="00622F8B"/>
    <w:rsid w:val="006359F3"/>
    <w:rsid w:val="006476D2"/>
    <w:rsid w:val="00652A6E"/>
    <w:rsid w:val="00654A5D"/>
    <w:rsid w:val="00665D83"/>
    <w:rsid w:val="0066E92A"/>
    <w:rsid w:val="00674CA6"/>
    <w:rsid w:val="006810D7"/>
    <w:rsid w:val="006935B8"/>
    <w:rsid w:val="00696254"/>
    <w:rsid w:val="006A43BC"/>
    <w:rsid w:val="006A7C99"/>
    <w:rsid w:val="006B400E"/>
    <w:rsid w:val="006C5323"/>
    <w:rsid w:val="006C634A"/>
    <w:rsid w:val="006D2962"/>
    <w:rsid w:val="006D3C26"/>
    <w:rsid w:val="006E1461"/>
    <w:rsid w:val="006E2B71"/>
    <w:rsid w:val="006E60A3"/>
    <w:rsid w:val="006E7ACC"/>
    <w:rsid w:val="006F7EAD"/>
    <w:rsid w:val="00716064"/>
    <w:rsid w:val="00716C61"/>
    <w:rsid w:val="00720243"/>
    <w:rsid w:val="00720B44"/>
    <w:rsid w:val="00722510"/>
    <w:rsid w:val="007231B5"/>
    <w:rsid w:val="00723224"/>
    <w:rsid w:val="007246CA"/>
    <w:rsid w:val="0073048D"/>
    <w:rsid w:val="007371D4"/>
    <w:rsid w:val="00743B2D"/>
    <w:rsid w:val="00753807"/>
    <w:rsid w:val="00757427"/>
    <w:rsid w:val="00762CB8"/>
    <w:rsid w:val="00766F60"/>
    <w:rsid w:val="00775393"/>
    <w:rsid w:val="00780B0B"/>
    <w:rsid w:val="007840A3"/>
    <w:rsid w:val="00785789"/>
    <w:rsid w:val="00794A71"/>
    <w:rsid w:val="007A794F"/>
    <w:rsid w:val="007A7EA3"/>
    <w:rsid w:val="007B3FB4"/>
    <w:rsid w:val="007B7243"/>
    <w:rsid w:val="007B7644"/>
    <w:rsid w:val="007C4D42"/>
    <w:rsid w:val="007D04CF"/>
    <w:rsid w:val="007D2BA8"/>
    <w:rsid w:val="007D565C"/>
    <w:rsid w:val="007D5EA4"/>
    <w:rsid w:val="007E2DC5"/>
    <w:rsid w:val="007F6AB2"/>
    <w:rsid w:val="007F6DD7"/>
    <w:rsid w:val="00801899"/>
    <w:rsid w:val="00807F95"/>
    <w:rsid w:val="00813469"/>
    <w:rsid w:val="0084789D"/>
    <w:rsid w:val="008507AC"/>
    <w:rsid w:val="0086265A"/>
    <w:rsid w:val="0086285A"/>
    <w:rsid w:val="00870871"/>
    <w:rsid w:val="00874C5F"/>
    <w:rsid w:val="00881D3D"/>
    <w:rsid w:val="00886507"/>
    <w:rsid w:val="00891EAE"/>
    <w:rsid w:val="008A1DD2"/>
    <w:rsid w:val="008A34B1"/>
    <w:rsid w:val="008A52C3"/>
    <w:rsid w:val="008B120F"/>
    <w:rsid w:val="008B2497"/>
    <w:rsid w:val="008B30F9"/>
    <w:rsid w:val="008B5493"/>
    <w:rsid w:val="008B5828"/>
    <w:rsid w:val="008B64A7"/>
    <w:rsid w:val="008C0B56"/>
    <w:rsid w:val="008C0CF7"/>
    <w:rsid w:val="008D5015"/>
    <w:rsid w:val="008D5190"/>
    <w:rsid w:val="008D66D5"/>
    <w:rsid w:val="008E4B9F"/>
    <w:rsid w:val="008E5A5C"/>
    <w:rsid w:val="008E65F9"/>
    <w:rsid w:val="008F0394"/>
    <w:rsid w:val="008F66B9"/>
    <w:rsid w:val="0090447E"/>
    <w:rsid w:val="00912FBA"/>
    <w:rsid w:val="009212D4"/>
    <w:rsid w:val="00924F56"/>
    <w:rsid w:val="00927CED"/>
    <w:rsid w:val="00930142"/>
    <w:rsid w:val="00940A47"/>
    <w:rsid w:val="009444E6"/>
    <w:rsid w:val="00950FE2"/>
    <w:rsid w:val="00952884"/>
    <w:rsid w:val="00957127"/>
    <w:rsid w:val="00977C91"/>
    <w:rsid w:val="00990490"/>
    <w:rsid w:val="009A668E"/>
    <w:rsid w:val="009A73BF"/>
    <w:rsid w:val="009B3618"/>
    <w:rsid w:val="009B36AA"/>
    <w:rsid w:val="009B415E"/>
    <w:rsid w:val="009D0AEF"/>
    <w:rsid w:val="009D11B8"/>
    <w:rsid w:val="009D1F48"/>
    <w:rsid w:val="009E2D4C"/>
    <w:rsid w:val="009E366A"/>
    <w:rsid w:val="009E7643"/>
    <w:rsid w:val="00A00B30"/>
    <w:rsid w:val="00A0200C"/>
    <w:rsid w:val="00A0392E"/>
    <w:rsid w:val="00A14AC2"/>
    <w:rsid w:val="00A179CB"/>
    <w:rsid w:val="00A23A7A"/>
    <w:rsid w:val="00A24BED"/>
    <w:rsid w:val="00A256AC"/>
    <w:rsid w:val="00A350C0"/>
    <w:rsid w:val="00A354D9"/>
    <w:rsid w:val="00A3670C"/>
    <w:rsid w:val="00A400AE"/>
    <w:rsid w:val="00A42010"/>
    <w:rsid w:val="00A53093"/>
    <w:rsid w:val="00A65F43"/>
    <w:rsid w:val="00A6708B"/>
    <w:rsid w:val="00A70CC7"/>
    <w:rsid w:val="00A7289A"/>
    <w:rsid w:val="00A73874"/>
    <w:rsid w:val="00A829F8"/>
    <w:rsid w:val="00A93015"/>
    <w:rsid w:val="00A96D10"/>
    <w:rsid w:val="00AB18B6"/>
    <w:rsid w:val="00AC21E1"/>
    <w:rsid w:val="00AC9841"/>
    <w:rsid w:val="00AD1309"/>
    <w:rsid w:val="00AD6C69"/>
    <w:rsid w:val="00AE0938"/>
    <w:rsid w:val="00AE3D7D"/>
    <w:rsid w:val="00AE5489"/>
    <w:rsid w:val="00AF1C36"/>
    <w:rsid w:val="00B201FF"/>
    <w:rsid w:val="00B2299E"/>
    <w:rsid w:val="00B31A42"/>
    <w:rsid w:val="00B332A9"/>
    <w:rsid w:val="00B40250"/>
    <w:rsid w:val="00B54162"/>
    <w:rsid w:val="00B55B17"/>
    <w:rsid w:val="00B62E45"/>
    <w:rsid w:val="00B63C6A"/>
    <w:rsid w:val="00B656F8"/>
    <w:rsid w:val="00B72C02"/>
    <w:rsid w:val="00B76B2A"/>
    <w:rsid w:val="00B76C01"/>
    <w:rsid w:val="00B821DA"/>
    <w:rsid w:val="00B82614"/>
    <w:rsid w:val="00B827D8"/>
    <w:rsid w:val="00B9621A"/>
    <w:rsid w:val="00BB6BEF"/>
    <w:rsid w:val="00BB7177"/>
    <w:rsid w:val="00BC40F1"/>
    <w:rsid w:val="00BD151C"/>
    <w:rsid w:val="00BE64B3"/>
    <w:rsid w:val="00C0010E"/>
    <w:rsid w:val="00C07614"/>
    <w:rsid w:val="00C10E16"/>
    <w:rsid w:val="00C11502"/>
    <w:rsid w:val="00C17B12"/>
    <w:rsid w:val="00C17FB0"/>
    <w:rsid w:val="00C213E9"/>
    <w:rsid w:val="00C21588"/>
    <w:rsid w:val="00C24857"/>
    <w:rsid w:val="00C37EF9"/>
    <w:rsid w:val="00C37F6D"/>
    <w:rsid w:val="00C50782"/>
    <w:rsid w:val="00C55844"/>
    <w:rsid w:val="00C56156"/>
    <w:rsid w:val="00C56486"/>
    <w:rsid w:val="00C57329"/>
    <w:rsid w:val="00C663A4"/>
    <w:rsid w:val="00C74F2D"/>
    <w:rsid w:val="00C77DF9"/>
    <w:rsid w:val="00C80BD3"/>
    <w:rsid w:val="00C830EA"/>
    <w:rsid w:val="00C840F0"/>
    <w:rsid w:val="00C872E1"/>
    <w:rsid w:val="00C87389"/>
    <w:rsid w:val="00C92630"/>
    <w:rsid w:val="00C93BB6"/>
    <w:rsid w:val="00C948A9"/>
    <w:rsid w:val="00C953FF"/>
    <w:rsid w:val="00CA5DC8"/>
    <w:rsid w:val="00CB0F9F"/>
    <w:rsid w:val="00CB2CA1"/>
    <w:rsid w:val="00CB4499"/>
    <w:rsid w:val="00CC3C3F"/>
    <w:rsid w:val="00CE0EA4"/>
    <w:rsid w:val="00CE2AEB"/>
    <w:rsid w:val="00CE6B12"/>
    <w:rsid w:val="00D0101F"/>
    <w:rsid w:val="00D04630"/>
    <w:rsid w:val="00D1626B"/>
    <w:rsid w:val="00D339E3"/>
    <w:rsid w:val="00D34C03"/>
    <w:rsid w:val="00D3577F"/>
    <w:rsid w:val="00D36274"/>
    <w:rsid w:val="00D434FA"/>
    <w:rsid w:val="00D47C9D"/>
    <w:rsid w:val="00D53DDC"/>
    <w:rsid w:val="00D62F6E"/>
    <w:rsid w:val="00D673CF"/>
    <w:rsid w:val="00D818C8"/>
    <w:rsid w:val="00D837F7"/>
    <w:rsid w:val="00D971D2"/>
    <w:rsid w:val="00DA0E4F"/>
    <w:rsid w:val="00DA2956"/>
    <w:rsid w:val="00DA56FC"/>
    <w:rsid w:val="00DB24F0"/>
    <w:rsid w:val="00DB2709"/>
    <w:rsid w:val="00DB3588"/>
    <w:rsid w:val="00DB4161"/>
    <w:rsid w:val="00DB4A4A"/>
    <w:rsid w:val="00DB4DB2"/>
    <w:rsid w:val="00DB552B"/>
    <w:rsid w:val="00DB7A41"/>
    <w:rsid w:val="00DD332F"/>
    <w:rsid w:val="00DD519E"/>
    <w:rsid w:val="00DE3E44"/>
    <w:rsid w:val="00DE4F11"/>
    <w:rsid w:val="00DE4F5B"/>
    <w:rsid w:val="00DF0749"/>
    <w:rsid w:val="00E10331"/>
    <w:rsid w:val="00E120EA"/>
    <w:rsid w:val="00E15346"/>
    <w:rsid w:val="00E16A3E"/>
    <w:rsid w:val="00E2218C"/>
    <w:rsid w:val="00E22C04"/>
    <w:rsid w:val="00E27953"/>
    <w:rsid w:val="00E360BA"/>
    <w:rsid w:val="00E43DBE"/>
    <w:rsid w:val="00E54ED5"/>
    <w:rsid w:val="00E67280"/>
    <w:rsid w:val="00E83183"/>
    <w:rsid w:val="00E8421B"/>
    <w:rsid w:val="00E843E7"/>
    <w:rsid w:val="00E8544E"/>
    <w:rsid w:val="00E95408"/>
    <w:rsid w:val="00E96247"/>
    <w:rsid w:val="00EA023C"/>
    <w:rsid w:val="00EA297C"/>
    <w:rsid w:val="00EA5453"/>
    <w:rsid w:val="00EA6EEB"/>
    <w:rsid w:val="00EB03EF"/>
    <w:rsid w:val="00EB23C6"/>
    <w:rsid w:val="00EB4FC5"/>
    <w:rsid w:val="00EC220D"/>
    <w:rsid w:val="00EC32BC"/>
    <w:rsid w:val="00EC3775"/>
    <w:rsid w:val="00EC5700"/>
    <w:rsid w:val="00ED2E47"/>
    <w:rsid w:val="00ED6053"/>
    <w:rsid w:val="00EE3820"/>
    <w:rsid w:val="00EE3B92"/>
    <w:rsid w:val="00EE53BB"/>
    <w:rsid w:val="00EF4419"/>
    <w:rsid w:val="00F07A2B"/>
    <w:rsid w:val="00F175A7"/>
    <w:rsid w:val="00F2000D"/>
    <w:rsid w:val="00F3039A"/>
    <w:rsid w:val="00F30EA0"/>
    <w:rsid w:val="00F331B5"/>
    <w:rsid w:val="00F33598"/>
    <w:rsid w:val="00F33B2E"/>
    <w:rsid w:val="00F42444"/>
    <w:rsid w:val="00F426B2"/>
    <w:rsid w:val="00F44CAA"/>
    <w:rsid w:val="00F4517E"/>
    <w:rsid w:val="00F45C61"/>
    <w:rsid w:val="00F54218"/>
    <w:rsid w:val="00F632AF"/>
    <w:rsid w:val="00F710A2"/>
    <w:rsid w:val="00F73933"/>
    <w:rsid w:val="00F745B4"/>
    <w:rsid w:val="00F756DD"/>
    <w:rsid w:val="00F844BE"/>
    <w:rsid w:val="00F85761"/>
    <w:rsid w:val="00F87D59"/>
    <w:rsid w:val="00FA5CEF"/>
    <w:rsid w:val="00FA74D9"/>
    <w:rsid w:val="00FA7CF7"/>
    <w:rsid w:val="00FB0F92"/>
    <w:rsid w:val="00FB5631"/>
    <w:rsid w:val="00FC6E38"/>
    <w:rsid w:val="00FE1BA6"/>
    <w:rsid w:val="00FE30E9"/>
    <w:rsid w:val="00FE4E1B"/>
    <w:rsid w:val="00FF151A"/>
    <w:rsid w:val="00FF1D17"/>
    <w:rsid w:val="00FF67A2"/>
    <w:rsid w:val="00FF7EFC"/>
    <w:rsid w:val="010E9251"/>
    <w:rsid w:val="011780F5"/>
    <w:rsid w:val="0119EE7D"/>
    <w:rsid w:val="0138A680"/>
    <w:rsid w:val="0147DD35"/>
    <w:rsid w:val="01695205"/>
    <w:rsid w:val="01789F8E"/>
    <w:rsid w:val="017D928C"/>
    <w:rsid w:val="018FAC42"/>
    <w:rsid w:val="01972D25"/>
    <w:rsid w:val="01C9F13B"/>
    <w:rsid w:val="01FB5E44"/>
    <w:rsid w:val="021486A1"/>
    <w:rsid w:val="0231F834"/>
    <w:rsid w:val="0291B3CF"/>
    <w:rsid w:val="029C94AE"/>
    <w:rsid w:val="02A29EC2"/>
    <w:rsid w:val="032A1BDD"/>
    <w:rsid w:val="037950AE"/>
    <w:rsid w:val="037F2AA0"/>
    <w:rsid w:val="039ABFA5"/>
    <w:rsid w:val="03D51320"/>
    <w:rsid w:val="0411F57E"/>
    <w:rsid w:val="041F3F96"/>
    <w:rsid w:val="0444026B"/>
    <w:rsid w:val="04C4F7D3"/>
    <w:rsid w:val="0511CC98"/>
    <w:rsid w:val="060070B8"/>
    <w:rsid w:val="0670AC8C"/>
    <w:rsid w:val="067FE917"/>
    <w:rsid w:val="0690D7B4"/>
    <w:rsid w:val="06AD3FB3"/>
    <w:rsid w:val="072338BB"/>
    <w:rsid w:val="07518E1B"/>
    <w:rsid w:val="075C9E9C"/>
    <w:rsid w:val="0810B177"/>
    <w:rsid w:val="082F6FAB"/>
    <w:rsid w:val="08C05BE4"/>
    <w:rsid w:val="09187D82"/>
    <w:rsid w:val="0948A845"/>
    <w:rsid w:val="09803504"/>
    <w:rsid w:val="099E617C"/>
    <w:rsid w:val="09EE23B3"/>
    <w:rsid w:val="09FA6ECF"/>
    <w:rsid w:val="0A19A448"/>
    <w:rsid w:val="0A2790A4"/>
    <w:rsid w:val="0A2B37B4"/>
    <w:rsid w:val="0A2E0F0B"/>
    <w:rsid w:val="0A42640A"/>
    <w:rsid w:val="0A76F78B"/>
    <w:rsid w:val="0A92EA7F"/>
    <w:rsid w:val="0AA3130C"/>
    <w:rsid w:val="0AB6B929"/>
    <w:rsid w:val="0AE94383"/>
    <w:rsid w:val="0B4DCA94"/>
    <w:rsid w:val="0B82068E"/>
    <w:rsid w:val="0BC70815"/>
    <w:rsid w:val="0C09A2C9"/>
    <w:rsid w:val="0C3AFAB3"/>
    <w:rsid w:val="0C5A339C"/>
    <w:rsid w:val="0C75C981"/>
    <w:rsid w:val="0C8DE2AF"/>
    <w:rsid w:val="0CCFB450"/>
    <w:rsid w:val="0CDA4C6F"/>
    <w:rsid w:val="0D05E5C7"/>
    <w:rsid w:val="0D1626E8"/>
    <w:rsid w:val="0D460909"/>
    <w:rsid w:val="0D4D3BF8"/>
    <w:rsid w:val="0DB5DCDE"/>
    <w:rsid w:val="0DD607DA"/>
    <w:rsid w:val="0DEE59EB"/>
    <w:rsid w:val="0DEF3884"/>
    <w:rsid w:val="0DFFC827"/>
    <w:rsid w:val="0E19CFD9"/>
    <w:rsid w:val="0E4036C4"/>
    <w:rsid w:val="0E71D29F"/>
    <w:rsid w:val="0E990A97"/>
    <w:rsid w:val="0EA49F67"/>
    <w:rsid w:val="0EF76ABF"/>
    <w:rsid w:val="0F1C3738"/>
    <w:rsid w:val="0F25EF32"/>
    <w:rsid w:val="0F282303"/>
    <w:rsid w:val="0F3893D7"/>
    <w:rsid w:val="0FA1EC8E"/>
    <w:rsid w:val="0FAFEB1E"/>
    <w:rsid w:val="0FC545AD"/>
    <w:rsid w:val="105D6537"/>
    <w:rsid w:val="10A008F4"/>
    <w:rsid w:val="10EF63A5"/>
    <w:rsid w:val="11301247"/>
    <w:rsid w:val="11493AA4"/>
    <w:rsid w:val="1191142C"/>
    <w:rsid w:val="11A1CF05"/>
    <w:rsid w:val="11ED3B60"/>
    <w:rsid w:val="12197A2C"/>
    <w:rsid w:val="12573F76"/>
    <w:rsid w:val="127C6305"/>
    <w:rsid w:val="12D3D02E"/>
    <w:rsid w:val="12EDF493"/>
    <w:rsid w:val="13550180"/>
    <w:rsid w:val="13B2F2B8"/>
    <w:rsid w:val="141ADA3D"/>
    <w:rsid w:val="1449F552"/>
    <w:rsid w:val="146FA08F"/>
    <w:rsid w:val="15045C68"/>
    <w:rsid w:val="156DEA5B"/>
    <w:rsid w:val="15724961"/>
    <w:rsid w:val="15CA4DED"/>
    <w:rsid w:val="15E5C5B3"/>
    <w:rsid w:val="162BB584"/>
    <w:rsid w:val="16547979"/>
    <w:rsid w:val="1661AD4E"/>
    <w:rsid w:val="16886083"/>
    <w:rsid w:val="16D1C7E7"/>
    <w:rsid w:val="16D4DCB2"/>
    <w:rsid w:val="170D392B"/>
    <w:rsid w:val="17139EFC"/>
    <w:rsid w:val="17440BB2"/>
    <w:rsid w:val="1747C0EF"/>
    <w:rsid w:val="175FFFDF"/>
    <w:rsid w:val="17819614"/>
    <w:rsid w:val="17BC0175"/>
    <w:rsid w:val="182D9B74"/>
    <w:rsid w:val="18677501"/>
    <w:rsid w:val="18850DAD"/>
    <w:rsid w:val="18A58B1D"/>
    <w:rsid w:val="18AA3ADD"/>
    <w:rsid w:val="18D1CF84"/>
    <w:rsid w:val="1912047C"/>
    <w:rsid w:val="19196018"/>
    <w:rsid w:val="194311B2"/>
    <w:rsid w:val="195CD0BD"/>
    <w:rsid w:val="19748DDE"/>
    <w:rsid w:val="197D6B5B"/>
    <w:rsid w:val="19917E3C"/>
    <w:rsid w:val="19D2C9C5"/>
    <w:rsid w:val="1A0C2FA6"/>
    <w:rsid w:val="1A53FFE0"/>
    <w:rsid w:val="1AA3441E"/>
    <w:rsid w:val="1AA84839"/>
    <w:rsid w:val="1B187806"/>
    <w:rsid w:val="1BC051DA"/>
    <w:rsid w:val="1BDDCFEB"/>
    <w:rsid w:val="1C8BED4B"/>
    <w:rsid w:val="1D17B67B"/>
    <w:rsid w:val="1E0B4EAD"/>
    <w:rsid w:val="1E23723C"/>
    <w:rsid w:val="1E41F76E"/>
    <w:rsid w:val="1EAB015A"/>
    <w:rsid w:val="1EB80A2D"/>
    <w:rsid w:val="1EC2333B"/>
    <w:rsid w:val="1EEDFD6F"/>
    <w:rsid w:val="1EF468BE"/>
    <w:rsid w:val="1F1266EC"/>
    <w:rsid w:val="1F51E967"/>
    <w:rsid w:val="1F5FA3CD"/>
    <w:rsid w:val="1F6C2993"/>
    <w:rsid w:val="1FAA65B0"/>
    <w:rsid w:val="1FE86C24"/>
    <w:rsid w:val="2052B09D"/>
    <w:rsid w:val="20BE330B"/>
    <w:rsid w:val="2128785A"/>
    <w:rsid w:val="21440BFD"/>
    <w:rsid w:val="214E4807"/>
    <w:rsid w:val="21540983"/>
    <w:rsid w:val="21694257"/>
    <w:rsid w:val="21B1CEB9"/>
    <w:rsid w:val="229A0B8C"/>
    <w:rsid w:val="233165A0"/>
    <w:rsid w:val="23D35BDD"/>
    <w:rsid w:val="241E9CF2"/>
    <w:rsid w:val="248BB5D9"/>
    <w:rsid w:val="24A4977D"/>
    <w:rsid w:val="24B98071"/>
    <w:rsid w:val="24BBFF84"/>
    <w:rsid w:val="25321309"/>
    <w:rsid w:val="2538F6DE"/>
    <w:rsid w:val="256F2C3E"/>
    <w:rsid w:val="257F38AE"/>
    <w:rsid w:val="25B0F7DD"/>
    <w:rsid w:val="25B67FC8"/>
    <w:rsid w:val="269DAA94"/>
    <w:rsid w:val="26E2CA85"/>
    <w:rsid w:val="26F1D442"/>
    <w:rsid w:val="27030481"/>
    <w:rsid w:val="275ACD1A"/>
    <w:rsid w:val="27B34D81"/>
    <w:rsid w:val="27E379FB"/>
    <w:rsid w:val="280A2C03"/>
    <w:rsid w:val="285DBF9E"/>
    <w:rsid w:val="287E9AE6"/>
    <w:rsid w:val="2885AC85"/>
    <w:rsid w:val="28A6CD00"/>
    <w:rsid w:val="29655B95"/>
    <w:rsid w:val="2985CF84"/>
    <w:rsid w:val="29C2163C"/>
    <w:rsid w:val="29F992E3"/>
    <w:rsid w:val="2A2D6BE1"/>
    <w:rsid w:val="2A3EEF5E"/>
    <w:rsid w:val="2AE7C8D5"/>
    <w:rsid w:val="2AF505DD"/>
    <w:rsid w:val="2B09E2CA"/>
    <w:rsid w:val="2B2FD2B8"/>
    <w:rsid w:val="2BDABFBF"/>
    <w:rsid w:val="2BF71FF1"/>
    <w:rsid w:val="2C7B5213"/>
    <w:rsid w:val="2C8712A8"/>
    <w:rsid w:val="2CE8881A"/>
    <w:rsid w:val="2D918898"/>
    <w:rsid w:val="2DDCE468"/>
    <w:rsid w:val="2DF1CAF7"/>
    <w:rsid w:val="2EA55C58"/>
    <w:rsid w:val="2ED4F18C"/>
    <w:rsid w:val="2EED0DA5"/>
    <w:rsid w:val="2F32DDF1"/>
    <w:rsid w:val="2F55586E"/>
    <w:rsid w:val="2F68D151"/>
    <w:rsid w:val="2F8D9B58"/>
    <w:rsid w:val="2FE2352F"/>
    <w:rsid w:val="304357C8"/>
    <w:rsid w:val="3050EC12"/>
    <w:rsid w:val="30522E20"/>
    <w:rsid w:val="30968EB6"/>
    <w:rsid w:val="30B44C6D"/>
    <w:rsid w:val="310BCB18"/>
    <w:rsid w:val="3157451D"/>
    <w:rsid w:val="31898166"/>
    <w:rsid w:val="318C797B"/>
    <w:rsid w:val="31D98433"/>
    <w:rsid w:val="31ECBC73"/>
    <w:rsid w:val="324BD15E"/>
    <w:rsid w:val="328D07BE"/>
    <w:rsid w:val="32C931AE"/>
    <w:rsid w:val="32E6EF65"/>
    <w:rsid w:val="33110745"/>
    <w:rsid w:val="332B96C9"/>
    <w:rsid w:val="33E97FA7"/>
    <w:rsid w:val="34028EE7"/>
    <w:rsid w:val="3406F33F"/>
    <w:rsid w:val="345DC665"/>
    <w:rsid w:val="3486D119"/>
    <w:rsid w:val="34C3AD40"/>
    <w:rsid w:val="3537355A"/>
    <w:rsid w:val="3541565D"/>
    <w:rsid w:val="35CCBF17"/>
    <w:rsid w:val="35EADFB8"/>
    <w:rsid w:val="36948965"/>
    <w:rsid w:val="36E00371"/>
    <w:rsid w:val="36ECA7DD"/>
    <w:rsid w:val="372EBD8C"/>
    <w:rsid w:val="373EC5E2"/>
    <w:rsid w:val="37510BE0"/>
    <w:rsid w:val="375B50C6"/>
    <w:rsid w:val="37766965"/>
    <w:rsid w:val="3842D59A"/>
    <w:rsid w:val="38595D29"/>
    <w:rsid w:val="386704F4"/>
    <w:rsid w:val="38FE64A1"/>
    <w:rsid w:val="391239C6"/>
    <w:rsid w:val="398F9342"/>
    <w:rsid w:val="39AB0CB9"/>
    <w:rsid w:val="3A1937CA"/>
    <w:rsid w:val="3A2C3625"/>
    <w:rsid w:val="3A8B5A36"/>
    <w:rsid w:val="3AAB83F3"/>
    <w:rsid w:val="3B135D5A"/>
    <w:rsid w:val="3B2FB615"/>
    <w:rsid w:val="3B4F8E97"/>
    <w:rsid w:val="3C5A213C"/>
    <w:rsid w:val="3CA2AE98"/>
    <w:rsid w:val="3CC72533"/>
    <w:rsid w:val="3D69CAE6"/>
    <w:rsid w:val="3D6DD66A"/>
    <w:rsid w:val="3DC7794B"/>
    <w:rsid w:val="3E29AF37"/>
    <w:rsid w:val="3E437AF2"/>
    <w:rsid w:val="3E78140D"/>
    <w:rsid w:val="3E7C30F2"/>
    <w:rsid w:val="3E814600"/>
    <w:rsid w:val="3F01CF1A"/>
    <w:rsid w:val="3F332D7B"/>
    <w:rsid w:val="3F383A68"/>
    <w:rsid w:val="3F3964CD"/>
    <w:rsid w:val="3F478F57"/>
    <w:rsid w:val="3F512117"/>
    <w:rsid w:val="3FE68701"/>
    <w:rsid w:val="4069EBCC"/>
    <w:rsid w:val="407A788F"/>
    <w:rsid w:val="408A0DC0"/>
    <w:rsid w:val="409F8D21"/>
    <w:rsid w:val="41196E1D"/>
    <w:rsid w:val="4132967A"/>
    <w:rsid w:val="414783F3"/>
    <w:rsid w:val="4171C8B6"/>
    <w:rsid w:val="4178724C"/>
    <w:rsid w:val="4191C629"/>
    <w:rsid w:val="4193CFF6"/>
    <w:rsid w:val="41AD59B6"/>
    <w:rsid w:val="41BF6CB2"/>
    <w:rsid w:val="41CD9357"/>
    <w:rsid w:val="42C8D735"/>
    <w:rsid w:val="42FAB66E"/>
    <w:rsid w:val="43254549"/>
    <w:rsid w:val="43A3FD56"/>
    <w:rsid w:val="43B06D6F"/>
    <w:rsid w:val="43E6707C"/>
    <w:rsid w:val="44DA3E07"/>
    <w:rsid w:val="44EE4980"/>
    <w:rsid w:val="44F70D74"/>
    <w:rsid w:val="4535CB4A"/>
    <w:rsid w:val="45A18370"/>
    <w:rsid w:val="45A70868"/>
    <w:rsid w:val="45A7CD46"/>
    <w:rsid w:val="45BCEEB9"/>
    <w:rsid w:val="463458F9"/>
    <w:rsid w:val="4636ED69"/>
    <w:rsid w:val="46D9ACE7"/>
    <w:rsid w:val="47062633"/>
    <w:rsid w:val="471126B1"/>
    <w:rsid w:val="4738421E"/>
    <w:rsid w:val="4748B0E0"/>
    <w:rsid w:val="4851481D"/>
    <w:rsid w:val="487C875D"/>
    <w:rsid w:val="48B1317A"/>
    <w:rsid w:val="48C100A3"/>
    <w:rsid w:val="493DA85F"/>
    <w:rsid w:val="49EE4563"/>
    <w:rsid w:val="4A885378"/>
    <w:rsid w:val="4AF370CA"/>
    <w:rsid w:val="4B026EA0"/>
    <w:rsid w:val="4B453742"/>
    <w:rsid w:val="4B5951D0"/>
    <w:rsid w:val="4BA0E91F"/>
    <w:rsid w:val="4C40E986"/>
    <w:rsid w:val="4C56911E"/>
    <w:rsid w:val="4C980A7C"/>
    <w:rsid w:val="4CB0D760"/>
    <w:rsid w:val="4CDFFCCB"/>
    <w:rsid w:val="4D9ED882"/>
    <w:rsid w:val="4DDB802E"/>
    <w:rsid w:val="4DFF1FA1"/>
    <w:rsid w:val="4E36804F"/>
    <w:rsid w:val="4E6FE576"/>
    <w:rsid w:val="4F25588A"/>
    <w:rsid w:val="4F3388C9"/>
    <w:rsid w:val="4F61CCB0"/>
    <w:rsid w:val="4FB0BDB9"/>
    <w:rsid w:val="4FED5B5F"/>
    <w:rsid w:val="5082805E"/>
    <w:rsid w:val="50ABEA98"/>
    <w:rsid w:val="51500C19"/>
    <w:rsid w:val="519416CE"/>
    <w:rsid w:val="519C66EC"/>
    <w:rsid w:val="51D4856B"/>
    <w:rsid w:val="51D6280A"/>
    <w:rsid w:val="51F0783B"/>
    <w:rsid w:val="521E50BF"/>
    <w:rsid w:val="526EA5DE"/>
    <w:rsid w:val="526F7ED3"/>
    <w:rsid w:val="52B63BEA"/>
    <w:rsid w:val="52D72D5C"/>
    <w:rsid w:val="52DA7640"/>
    <w:rsid w:val="52E229A8"/>
    <w:rsid w:val="53137478"/>
    <w:rsid w:val="5345C421"/>
    <w:rsid w:val="53602606"/>
    <w:rsid w:val="53F5BF15"/>
    <w:rsid w:val="541D9635"/>
    <w:rsid w:val="5425DA93"/>
    <w:rsid w:val="54272517"/>
    <w:rsid w:val="54485463"/>
    <w:rsid w:val="544BFB73"/>
    <w:rsid w:val="554E05E3"/>
    <w:rsid w:val="5562E01C"/>
    <w:rsid w:val="55918F76"/>
    <w:rsid w:val="5695CA12"/>
    <w:rsid w:val="56968D40"/>
    <w:rsid w:val="571F0D8E"/>
    <w:rsid w:val="5728DA8A"/>
    <w:rsid w:val="572D5FD7"/>
    <w:rsid w:val="57639B02"/>
    <w:rsid w:val="57753E06"/>
    <w:rsid w:val="577C463D"/>
    <w:rsid w:val="5780692A"/>
    <w:rsid w:val="580CB264"/>
    <w:rsid w:val="580F1DAA"/>
    <w:rsid w:val="583B1BCF"/>
    <w:rsid w:val="58486D1E"/>
    <w:rsid w:val="58A27E44"/>
    <w:rsid w:val="58B97C44"/>
    <w:rsid w:val="58ED4CDA"/>
    <w:rsid w:val="5978A80C"/>
    <w:rsid w:val="59815536"/>
    <w:rsid w:val="5982B5FC"/>
    <w:rsid w:val="5986EA6E"/>
    <w:rsid w:val="59CE2E02"/>
    <w:rsid w:val="59FC49D1"/>
    <w:rsid w:val="5A078D27"/>
    <w:rsid w:val="5A2D5EB3"/>
    <w:rsid w:val="5A5F8E9E"/>
    <w:rsid w:val="5AB0E2CF"/>
    <w:rsid w:val="5AC83DF7"/>
    <w:rsid w:val="5ACB8477"/>
    <w:rsid w:val="5B268293"/>
    <w:rsid w:val="5BFD1BFE"/>
    <w:rsid w:val="5C536648"/>
    <w:rsid w:val="5C790DBC"/>
    <w:rsid w:val="5C813E45"/>
    <w:rsid w:val="5CA6F042"/>
    <w:rsid w:val="5CC0F0F7"/>
    <w:rsid w:val="5CFDBB03"/>
    <w:rsid w:val="5D67186C"/>
    <w:rsid w:val="5D9CA15B"/>
    <w:rsid w:val="5DA8D5AA"/>
    <w:rsid w:val="5E160275"/>
    <w:rsid w:val="5E3822AF"/>
    <w:rsid w:val="5E62CB8B"/>
    <w:rsid w:val="5EAA94C7"/>
    <w:rsid w:val="5ECF11B3"/>
    <w:rsid w:val="5F5E869C"/>
    <w:rsid w:val="5F8B8803"/>
    <w:rsid w:val="5F945450"/>
    <w:rsid w:val="5F97587B"/>
    <w:rsid w:val="5FE9F169"/>
    <w:rsid w:val="5FF1F780"/>
    <w:rsid w:val="60068972"/>
    <w:rsid w:val="607DFEC2"/>
    <w:rsid w:val="609DA843"/>
    <w:rsid w:val="60C330BA"/>
    <w:rsid w:val="60F5A071"/>
    <w:rsid w:val="60F92704"/>
    <w:rsid w:val="610DA476"/>
    <w:rsid w:val="61D4F477"/>
    <w:rsid w:val="622DBD67"/>
    <w:rsid w:val="62310276"/>
    <w:rsid w:val="623536D6"/>
    <w:rsid w:val="6241BDA0"/>
    <w:rsid w:val="62616F28"/>
    <w:rsid w:val="629A38C2"/>
    <w:rsid w:val="62A97F6F"/>
    <w:rsid w:val="62C55237"/>
    <w:rsid w:val="62C64EDC"/>
    <w:rsid w:val="62C6E66A"/>
    <w:rsid w:val="62E8D7E7"/>
    <w:rsid w:val="631A0295"/>
    <w:rsid w:val="632C5B60"/>
    <w:rsid w:val="63324ACD"/>
    <w:rsid w:val="634AAD14"/>
    <w:rsid w:val="6352CF28"/>
    <w:rsid w:val="6357453C"/>
    <w:rsid w:val="638A03BA"/>
    <w:rsid w:val="63D10737"/>
    <w:rsid w:val="63E637A2"/>
    <w:rsid w:val="6455B39E"/>
    <w:rsid w:val="6462B6CB"/>
    <w:rsid w:val="64FE4CA9"/>
    <w:rsid w:val="656E7DC3"/>
    <w:rsid w:val="65C7ED3C"/>
    <w:rsid w:val="65E11599"/>
    <w:rsid w:val="66937C38"/>
    <w:rsid w:val="669B7633"/>
    <w:rsid w:val="66F1B291"/>
    <w:rsid w:val="6724BD92"/>
    <w:rsid w:val="6781E243"/>
    <w:rsid w:val="6794B3DE"/>
    <w:rsid w:val="67A302BC"/>
    <w:rsid w:val="67B8D9DB"/>
    <w:rsid w:val="67D6DCC5"/>
    <w:rsid w:val="68263E22"/>
    <w:rsid w:val="68571E2B"/>
    <w:rsid w:val="688F91CB"/>
    <w:rsid w:val="68A7C8A1"/>
    <w:rsid w:val="68A86DEE"/>
    <w:rsid w:val="68D251BE"/>
    <w:rsid w:val="68EF4DC9"/>
    <w:rsid w:val="6912FF4C"/>
    <w:rsid w:val="697FF042"/>
    <w:rsid w:val="69B9EE98"/>
    <w:rsid w:val="69BC8DE8"/>
    <w:rsid w:val="69D8FCE1"/>
    <w:rsid w:val="6A0E0598"/>
    <w:rsid w:val="6A2B622C"/>
    <w:rsid w:val="6A443E4F"/>
    <w:rsid w:val="6B8F2BEA"/>
    <w:rsid w:val="6B9ADD89"/>
    <w:rsid w:val="6BA3D510"/>
    <w:rsid w:val="6C0B8370"/>
    <w:rsid w:val="6C0B87CB"/>
    <w:rsid w:val="6C0F41D9"/>
    <w:rsid w:val="6C100A15"/>
    <w:rsid w:val="6C212243"/>
    <w:rsid w:val="6C3E5341"/>
    <w:rsid w:val="6C6F9B29"/>
    <w:rsid w:val="6CE0729A"/>
    <w:rsid w:val="6DAB151E"/>
    <w:rsid w:val="6DC1CEE2"/>
    <w:rsid w:val="6E069D3F"/>
    <w:rsid w:val="6E14BF3E"/>
    <w:rsid w:val="6E6631A4"/>
    <w:rsid w:val="6F438DF7"/>
    <w:rsid w:val="6F76C7A0"/>
    <w:rsid w:val="6F7A8646"/>
    <w:rsid w:val="6F99DD12"/>
    <w:rsid w:val="6FA9E531"/>
    <w:rsid w:val="6FD6BC2D"/>
    <w:rsid w:val="7000383C"/>
    <w:rsid w:val="703A6AF3"/>
    <w:rsid w:val="70A1B2CC"/>
    <w:rsid w:val="70DAF7B5"/>
    <w:rsid w:val="714D9D2A"/>
    <w:rsid w:val="715E02D8"/>
    <w:rsid w:val="7169526E"/>
    <w:rsid w:val="71E564AB"/>
    <w:rsid w:val="71F05004"/>
    <w:rsid w:val="72DB2ACC"/>
    <w:rsid w:val="730522CF"/>
    <w:rsid w:val="732B427D"/>
    <w:rsid w:val="735A953C"/>
    <w:rsid w:val="7364F7D8"/>
    <w:rsid w:val="7384ED80"/>
    <w:rsid w:val="73A36E7E"/>
    <w:rsid w:val="73A8B80E"/>
    <w:rsid w:val="73F2AEF4"/>
    <w:rsid w:val="73FB150A"/>
    <w:rsid w:val="73FE53DE"/>
    <w:rsid w:val="742206A9"/>
    <w:rsid w:val="744895E6"/>
    <w:rsid w:val="75897E6A"/>
    <w:rsid w:val="75F73D93"/>
    <w:rsid w:val="761E0FC7"/>
    <w:rsid w:val="768BEEC0"/>
    <w:rsid w:val="768E5A06"/>
    <w:rsid w:val="76B4BA90"/>
    <w:rsid w:val="76D9CC17"/>
    <w:rsid w:val="770CCE9F"/>
    <w:rsid w:val="7751F764"/>
    <w:rsid w:val="775435BA"/>
    <w:rsid w:val="7782FDA5"/>
    <w:rsid w:val="77BE328F"/>
    <w:rsid w:val="77E76935"/>
    <w:rsid w:val="77F8F6AD"/>
    <w:rsid w:val="78363DAD"/>
    <w:rsid w:val="78474DEE"/>
    <w:rsid w:val="78D33EA2"/>
    <w:rsid w:val="78E090B1"/>
    <w:rsid w:val="7955644F"/>
    <w:rsid w:val="79833996"/>
    <w:rsid w:val="798EA609"/>
    <w:rsid w:val="79B9D35E"/>
    <w:rsid w:val="7A097F53"/>
    <w:rsid w:val="7A5E5A0B"/>
    <w:rsid w:val="7A722292"/>
    <w:rsid w:val="7AB65CA8"/>
    <w:rsid w:val="7B335E6C"/>
    <w:rsid w:val="7B5E951E"/>
    <w:rsid w:val="7BCA0CA7"/>
    <w:rsid w:val="7C14D7DB"/>
    <w:rsid w:val="7C3A3921"/>
    <w:rsid w:val="7C506CAB"/>
    <w:rsid w:val="7C8096C4"/>
    <w:rsid w:val="7C86220B"/>
    <w:rsid w:val="7CB03229"/>
    <w:rsid w:val="7CB28EED"/>
    <w:rsid w:val="7CBC3B1E"/>
    <w:rsid w:val="7CD5637B"/>
    <w:rsid w:val="7D27ED20"/>
    <w:rsid w:val="7D3E99FE"/>
    <w:rsid w:val="7D714802"/>
    <w:rsid w:val="7D9202DB"/>
    <w:rsid w:val="7DD3ADE6"/>
    <w:rsid w:val="7DD4C423"/>
    <w:rsid w:val="7E2CDC19"/>
    <w:rsid w:val="7E7899CA"/>
    <w:rsid w:val="7E9AE1BD"/>
    <w:rsid w:val="7F1754F9"/>
    <w:rsid w:val="7F21A9FC"/>
    <w:rsid w:val="7F6D8092"/>
    <w:rsid w:val="7F8CE0D2"/>
    <w:rsid w:val="7FAC39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C55C"/>
  <w15:chartTrackingRefBased/>
  <w15:docId w15:val="{A3DC893B-1C56-4083-9B91-C96B3827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82614"/>
    <w:pPr>
      <w:ind w:left="720"/>
      <w:contextualSpacing/>
    </w:pPr>
  </w:style>
  <w:style w:type="table" w:styleId="Rcsostblzat">
    <w:name w:val="Table Grid"/>
    <w:basedOn w:val="Normltblzat"/>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fejChar">
    <w:name w:val="Élőfej Char"/>
    <w:basedOn w:val="Bekezdsalapbettpusa"/>
    <w:link w:val="lfej"/>
    <w:uiPriority w:val="99"/>
  </w:style>
  <w:style w:type="paragraph" w:styleId="lfej">
    <w:name w:val="header"/>
    <w:basedOn w:val="Norml"/>
    <w:link w:val="lfejChar"/>
    <w:uiPriority w:val="99"/>
    <w:unhideWhenUsed/>
    <w:pPr>
      <w:tabs>
        <w:tab w:val="center" w:pos="4680"/>
        <w:tab w:val="right" w:pos="9360"/>
      </w:tabs>
      <w:spacing w:after="0" w:line="240" w:lineRule="auto"/>
    </w:pPr>
  </w:style>
  <w:style w:type="character" w:customStyle="1" w:styleId="llbChar">
    <w:name w:val="Élőláb Char"/>
    <w:basedOn w:val="Bekezdsalapbettpusa"/>
    <w:link w:val="llb"/>
    <w:uiPriority w:val="99"/>
  </w:style>
  <w:style w:type="paragraph" w:styleId="llb">
    <w:name w:val="footer"/>
    <w:basedOn w:val="Norml"/>
    <w:link w:val="llbChar"/>
    <w:uiPriority w:val="99"/>
    <w:unhideWhenUsed/>
    <w:pPr>
      <w:tabs>
        <w:tab w:val="center" w:pos="4680"/>
        <w:tab w:val="right" w:pos="9360"/>
      </w:tabs>
      <w:spacing w:after="0" w:line="240" w:lineRule="auto"/>
    </w:pPr>
  </w:style>
  <w:style w:type="character" w:styleId="Jegyzethivatkozs">
    <w:name w:val="annotation reference"/>
    <w:basedOn w:val="Bekezdsalapbettpusa"/>
    <w:uiPriority w:val="99"/>
    <w:semiHidden/>
    <w:unhideWhenUsed/>
    <w:rsid w:val="00351FC1"/>
    <w:rPr>
      <w:sz w:val="16"/>
      <w:szCs w:val="16"/>
    </w:rPr>
  </w:style>
  <w:style w:type="paragraph" w:styleId="Jegyzetszveg">
    <w:name w:val="annotation text"/>
    <w:basedOn w:val="Norml"/>
    <w:link w:val="JegyzetszvegChar"/>
    <w:uiPriority w:val="99"/>
    <w:semiHidden/>
    <w:unhideWhenUsed/>
    <w:rsid w:val="00351FC1"/>
    <w:pPr>
      <w:spacing w:line="240" w:lineRule="auto"/>
    </w:pPr>
    <w:rPr>
      <w:sz w:val="20"/>
      <w:szCs w:val="20"/>
    </w:rPr>
  </w:style>
  <w:style w:type="character" w:customStyle="1" w:styleId="JegyzetszvegChar">
    <w:name w:val="Jegyzetszöveg Char"/>
    <w:basedOn w:val="Bekezdsalapbettpusa"/>
    <w:link w:val="Jegyzetszveg"/>
    <w:uiPriority w:val="99"/>
    <w:semiHidden/>
    <w:rsid w:val="00351FC1"/>
    <w:rPr>
      <w:sz w:val="20"/>
      <w:szCs w:val="20"/>
    </w:rPr>
  </w:style>
  <w:style w:type="paragraph" w:styleId="Megjegyzstrgya">
    <w:name w:val="annotation subject"/>
    <w:basedOn w:val="Jegyzetszveg"/>
    <w:next w:val="Jegyzetszveg"/>
    <w:link w:val="MegjegyzstrgyaChar"/>
    <w:uiPriority w:val="99"/>
    <w:semiHidden/>
    <w:unhideWhenUsed/>
    <w:rsid w:val="00351FC1"/>
    <w:rPr>
      <w:b/>
      <w:bCs/>
    </w:rPr>
  </w:style>
  <w:style w:type="character" w:customStyle="1" w:styleId="MegjegyzstrgyaChar">
    <w:name w:val="Megjegyzés tárgya Char"/>
    <w:basedOn w:val="JegyzetszvegChar"/>
    <w:link w:val="Megjegyzstrgya"/>
    <w:uiPriority w:val="99"/>
    <w:semiHidden/>
    <w:rsid w:val="00351FC1"/>
    <w:rPr>
      <w:b/>
      <w:bCs/>
      <w:sz w:val="20"/>
      <w:szCs w:val="20"/>
    </w:rPr>
  </w:style>
  <w:style w:type="paragraph" w:styleId="Buborkszveg">
    <w:name w:val="Balloon Text"/>
    <w:basedOn w:val="Norml"/>
    <w:link w:val="BuborkszvegChar"/>
    <w:uiPriority w:val="99"/>
    <w:semiHidden/>
    <w:unhideWhenUsed/>
    <w:rsid w:val="00C1150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11502"/>
    <w:rPr>
      <w:rFonts w:ascii="Segoe UI" w:hAnsi="Segoe UI" w:cs="Segoe UI"/>
      <w:sz w:val="18"/>
      <w:szCs w:val="18"/>
    </w:rPr>
  </w:style>
  <w:style w:type="character" w:styleId="Hiperhivatkozs">
    <w:name w:val="Hyperlink"/>
    <w:basedOn w:val="Bekezdsalapbettpusa"/>
    <w:uiPriority w:val="99"/>
    <w:unhideWhenUsed/>
    <w:rsid w:val="00F426B2"/>
    <w:rPr>
      <w:color w:val="0563C1" w:themeColor="hyperlink"/>
      <w:u w:val="single"/>
    </w:rPr>
  </w:style>
  <w:style w:type="character" w:styleId="Mrltotthiperhivatkozs">
    <w:name w:val="FollowedHyperlink"/>
    <w:basedOn w:val="Bekezdsalapbettpusa"/>
    <w:uiPriority w:val="99"/>
    <w:semiHidden/>
    <w:unhideWhenUsed/>
    <w:rsid w:val="00C74F2D"/>
    <w:rPr>
      <w:color w:val="954F72" w:themeColor="followedHyperlink"/>
      <w:u w:val="single"/>
    </w:rPr>
  </w:style>
  <w:style w:type="character" w:styleId="Feloldatlanmegemlts">
    <w:name w:val="Unresolved Mention"/>
    <w:basedOn w:val="Bekezdsalapbettpusa"/>
    <w:uiPriority w:val="99"/>
    <w:semiHidden/>
    <w:unhideWhenUsed/>
    <w:rsid w:val="0099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27933">
      <w:bodyDiv w:val="1"/>
      <w:marLeft w:val="0"/>
      <w:marRight w:val="0"/>
      <w:marTop w:val="0"/>
      <w:marBottom w:val="0"/>
      <w:divBdr>
        <w:top w:val="none" w:sz="0" w:space="0" w:color="auto"/>
        <w:left w:val="none" w:sz="0" w:space="0" w:color="auto"/>
        <w:bottom w:val="none" w:sz="0" w:space="0" w:color="auto"/>
        <w:right w:val="none" w:sz="0" w:space="0" w:color="auto"/>
      </w:divBdr>
      <w:divsChild>
        <w:div w:id="1075007622">
          <w:marLeft w:val="0"/>
          <w:marRight w:val="0"/>
          <w:marTop w:val="0"/>
          <w:marBottom w:val="0"/>
          <w:divBdr>
            <w:top w:val="none" w:sz="0" w:space="0" w:color="auto"/>
            <w:left w:val="none" w:sz="0" w:space="0" w:color="auto"/>
            <w:bottom w:val="none" w:sz="0" w:space="0" w:color="auto"/>
            <w:right w:val="none" w:sz="0" w:space="0" w:color="auto"/>
          </w:divBdr>
        </w:div>
        <w:div w:id="967779501">
          <w:marLeft w:val="0"/>
          <w:marRight w:val="0"/>
          <w:marTop w:val="0"/>
          <w:marBottom w:val="0"/>
          <w:divBdr>
            <w:top w:val="none" w:sz="0" w:space="0" w:color="auto"/>
            <w:left w:val="none" w:sz="0" w:space="0" w:color="auto"/>
            <w:bottom w:val="none" w:sz="0" w:space="0" w:color="auto"/>
            <w:right w:val="none" w:sz="0" w:space="0" w:color="auto"/>
          </w:divBdr>
        </w:div>
      </w:divsChild>
    </w:div>
    <w:div w:id="407966140">
      <w:bodyDiv w:val="1"/>
      <w:marLeft w:val="0"/>
      <w:marRight w:val="0"/>
      <w:marTop w:val="0"/>
      <w:marBottom w:val="0"/>
      <w:divBdr>
        <w:top w:val="none" w:sz="0" w:space="0" w:color="auto"/>
        <w:left w:val="none" w:sz="0" w:space="0" w:color="auto"/>
        <w:bottom w:val="none" w:sz="0" w:space="0" w:color="auto"/>
        <w:right w:val="none" w:sz="0" w:space="0" w:color="auto"/>
      </w:divBdr>
      <w:divsChild>
        <w:div w:id="1430858401">
          <w:marLeft w:val="0"/>
          <w:marRight w:val="0"/>
          <w:marTop w:val="0"/>
          <w:marBottom w:val="0"/>
          <w:divBdr>
            <w:top w:val="none" w:sz="0" w:space="0" w:color="auto"/>
            <w:left w:val="none" w:sz="0" w:space="0" w:color="auto"/>
            <w:bottom w:val="none" w:sz="0" w:space="0" w:color="auto"/>
            <w:right w:val="none" w:sz="0" w:space="0" w:color="auto"/>
          </w:divBdr>
        </w:div>
        <w:div w:id="1825269846">
          <w:marLeft w:val="0"/>
          <w:marRight w:val="0"/>
          <w:marTop w:val="0"/>
          <w:marBottom w:val="0"/>
          <w:divBdr>
            <w:top w:val="none" w:sz="0" w:space="0" w:color="auto"/>
            <w:left w:val="none" w:sz="0" w:space="0" w:color="auto"/>
            <w:bottom w:val="none" w:sz="0" w:space="0" w:color="auto"/>
            <w:right w:val="none" w:sz="0" w:space="0" w:color="auto"/>
          </w:divBdr>
        </w:div>
        <w:div w:id="1430813415">
          <w:marLeft w:val="0"/>
          <w:marRight w:val="0"/>
          <w:marTop w:val="0"/>
          <w:marBottom w:val="0"/>
          <w:divBdr>
            <w:top w:val="none" w:sz="0" w:space="0" w:color="auto"/>
            <w:left w:val="none" w:sz="0" w:space="0" w:color="auto"/>
            <w:bottom w:val="none" w:sz="0" w:space="0" w:color="auto"/>
            <w:right w:val="none" w:sz="0" w:space="0" w:color="auto"/>
          </w:divBdr>
        </w:div>
      </w:divsChild>
    </w:div>
    <w:div w:id="705914719">
      <w:bodyDiv w:val="1"/>
      <w:marLeft w:val="0"/>
      <w:marRight w:val="0"/>
      <w:marTop w:val="0"/>
      <w:marBottom w:val="0"/>
      <w:divBdr>
        <w:top w:val="none" w:sz="0" w:space="0" w:color="auto"/>
        <w:left w:val="none" w:sz="0" w:space="0" w:color="auto"/>
        <w:bottom w:val="none" w:sz="0" w:space="0" w:color="auto"/>
        <w:right w:val="none" w:sz="0" w:space="0" w:color="auto"/>
      </w:divBdr>
      <w:divsChild>
        <w:div w:id="744373110">
          <w:marLeft w:val="0"/>
          <w:marRight w:val="0"/>
          <w:marTop w:val="0"/>
          <w:marBottom w:val="0"/>
          <w:divBdr>
            <w:top w:val="none" w:sz="0" w:space="0" w:color="auto"/>
            <w:left w:val="none" w:sz="0" w:space="0" w:color="auto"/>
            <w:bottom w:val="none" w:sz="0" w:space="0" w:color="auto"/>
            <w:right w:val="none" w:sz="0" w:space="0" w:color="auto"/>
          </w:divBdr>
        </w:div>
        <w:div w:id="582955805">
          <w:marLeft w:val="0"/>
          <w:marRight w:val="0"/>
          <w:marTop w:val="0"/>
          <w:marBottom w:val="0"/>
          <w:divBdr>
            <w:top w:val="none" w:sz="0" w:space="0" w:color="auto"/>
            <w:left w:val="none" w:sz="0" w:space="0" w:color="auto"/>
            <w:bottom w:val="none" w:sz="0" w:space="0" w:color="auto"/>
            <w:right w:val="none" w:sz="0" w:space="0" w:color="auto"/>
          </w:divBdr>
          <w:divsChild>
            <w:div w:id="1013802673">
              <w:marLeft w:val="0"/>
              <w:marRight w:val="0"/>
              <w:marTop w:val="0"/>
              <w:marBottom w:val="0"/>
              <w:divBdr>
                <w:top w:val="none" w:sz="0" w:space="0" w:color="auto"/>
                <w:left w:val="none" w:sz="0" w:space="0" w:color="auto"/>
                <w:bottom w:val="none" w:sz="0" w:space="0" w:color="auto"/>
                <w:right w:val="none" w:sz="0" w:space="0" w:color="auto"/>
              </w:divBdr>
            </w:div>
            <w:div w:id="1214341958">
              <w:marLeft w:val="0"/>
              <w:marRight w:val="0"/>
              <w:marTop w:val="0"/>
              <w:marBottom w:val="0"/>
              <w:divBdr>
                <w:top w:val="none" w:sz="0" w:space="0" w:color="auto"/>
                <w:left w:val="none" w:sz="0" w:space="0" w:color="auto"/>
                <w:bottom w:val="none" w:sz="0" w:space="0" w:color="auto"/>
                <w:right w:val="none" w:sz="0" w:space="0" w:color="auto"/>
              </w:divBdr>
            </w:div>
            <w:div w:id="353380444">
              <w:marLeft w:val="0"/>
              <w:marRight w:val="0"/>
              <w:marTop w:val="0"/>
              <w:marBottom w:val="0"/>
              <w:divBdr>
                <w:top w:val="none" w:sz="0" w:space="0" w:color="auto"/>
                <w:left w:val="none" w:sz="0" w:space="0" w:color="auto"/>
                <w:bottom w:val="none" w:sz="0" w:space="0" w:color="auto"/>
                <w:right w:val="none" w:sz="0" w:space="0" w:color="auto"/>
              </w:divBdr>
            </w:div>
            <w:div w:id="1576471465">
              <w:marLeft w:val="0"/>
              <w:marRight w:val="0"/>
              <w:marTop w:val="0"/>
              <w:marBottom w:val="0"/>
              <w:divBdr>
                <w:top w:val="none" w:sz="0" w:space="0" w:color="auto"/>
                <w:left w:val="none" w:sz="0" w:space="0" w:color="auto"/>
                <w:bottom w:val="none" w:sz="0" w:space="0" w:color="auto"/>
                <w:right w:val="none" w:sz="0" w:space="0" w:color="auto"/>
              </w:divBdr>
            </w:div>
            <w:div w:id="1816988937">
              <w:marLeft w:val="0"/>
              <w:marRight w:val="0"/>
              <w:marTop w:val="0"/>
              <w:marBottom w:val="0"/>
              <w:divBdr>
                <w:top w:val="none" w:sz="0" w:space="0" w:color="auto"/>
                <w:left w:val="none" w:sz="0" w:space="0" w:color="auto"/>
                <w:bottom w:val="none" w:sz="0" w:space="0" w:color="auto"/>
                <w:right w:val="none" w:sz="0" w:space="0" w:color="auto"/>
              </w:divBdr>
            </w:div>
          </w:divsChild>
        </w:div>
        <w:div w:id="1814635975">
          <w:marLeft w:val="0"/>
          <w:marRight w:val="0"/>
          <w:marTop w:val="0"/>
          <w:marBottom w:val="0"/>
          <w:divBdr>
            <w:top w:val="none" w:sz="0" w:space="0" w:color="auto"/>
            <w:left w:val="none" w:sz="0" w:space="0" w:color="auto"/>
            <w:bottom w:val="none" w:sz="0" w:space="0" w:color="auto"/>
            <w:right w:val="none" w:sz="0" w:space="0" w:color="auto"/>
          </w:divBdr>
          <w:divsChild>
            <w:div w:id="1307466484">
              <w:marLeft w:val="0"/>
              <w:marRight w:val="0"/>
              <w:marTop w:val="0"/>
              <w:marBottom w:val="0"/>
              <w:divBdr>
                <w:top w:val="none" w:sz="0" w:space="0" w:color="auto"/>
                <w:left w:val="none" w:sz="0" w:space="0" w:color="auto"/>
                <w:bottom w:val="none" w:sz="0" w:space="0" w:color="auto"/>
                <w:right w:val="none" w:sz="0" w:space="0" w:color="auto"/>
              </w:divBdr>
            </w:div>
            <w:div w:id="2016492960">
              <w:marLeft w:val="0"/>
              <w:marRight w:val="0"/>
              <w:marTop w:val="0"/>
              <w:marBottom w:val="0"/>
              <w:divBdr>
                <w:top w:val="none" w:sz="0" w:space="0" w:color="auto"/>
                <w:left w:val="none" w:sz="0" w:space="0" w:color="auto"/>
                <w:bottom w:val="none" w:sz="0" w:space="0" w:color="auto"/>
                <w:right w:val="none" w:sz="0" w:space="0" w:color="auto"/>
              </w:divBdr>
            </w:div>
            <w:div w:id="1050305704">
              <w:marLeft w:val="0"/>
              <w:marRight w:val="0"/>
              <w:marTop w:val="0"/>
              <w:marBottom w:val="0"/>
              <w:divBdr>
                <w:top w:val="none" w:sz="0" w:space="0" w:color="auto"/>
                <w:left w:val="none" w:sz="0" w:space="0" w:color="auto"/>
                <w:bottom w:val="none" w:sz="0" w:space="0" w:color="auto"/>
                <w:right w:val="none" w:sz="0" w:space="0" w:color="auto"/>
              </w:divBdr>
            </w:div>
            <w:div w:id="793980087">
              <w:marLeft w:val="0"/>
              <w:marRight w:val="0"/>
              <w:marTop w:val="0"/>
              <w:marBottom w:val="0"/>
              <w:divBdr>
                <w:top w:val="none" w:sz="0" w:space="0" w:color="auto"/>
                <w:left w:val="none" w:sz="0" w:space="0" w:color="auto"/>
                <w:bottom w:val="none" w:sz="0" w:space="0" w:color="auto"/>
                <w:right w:val="none" w:sz="0" w:space="0" w:color="auto"/>
              </w:divBdr>
            </w:div>
            <w:div w:id="2098624890">
              <w:marLeft w:val="0"/>
              <w:marRight w:val="0"/>
              <w:marTop w:val="0"/>
              <w:marBottom w:val="0"/>
              <w:divBdr>
                <w:top w:val="none" w:sz="0" w:space="0" w:color="auto"/>
                <w:left w:val="none" w:sz="0" w:space="0" w:color="auto"/>
                <w:bottom w:val="none" w:sz="0" w:space="0" w:color="auto"/>
                <w:right w:val="none" w:sz="0" w:space="0" w:color="auto"/>
              </w:divBdr>
            </w:div>
          </w:divsChild>
        </w:div>
        <w:div w:id="1864589819">
          <w:marLeft w:val="0"/>
          <w:marRight w:val="0"/>
          <w:marTop w:val="0"/>
          <w:marBottom w:val="0"/>
          <w:divBdr>
            <w:top w:val="none" w:sz="0" w:space="0" w:color="auto"/>
            <w:left w:val="none" w:sz="0" w:space="0" w:color="auto"/>
            <w:bottom w:val="none" w:sz="0" w:space="0" w:color="auto"/>
            <w:right w:val="none" w:sz="0" w:space="0" w:color="auto"/>
          </w:divBdr>
          <w:divsChild>
            <w:div w:id="414282787">
              <w:marLeft w:val="0"/>
              <w:marRight w:val="0"/>
              <w:marTop w:val="0"/>
              <w:marBottom w:val="0"/>
              <w:divBdr>
                <w:top w:val="none" w:sz="0" w:space="0" w:color="auto"/>
                <w:left w:val="none" w:sz="0" w:space="0" w:color="auto"/>
                <w:bottom w:val="none" w:sz="0" w:space="0" w:color="auto"/>
                <w:right w:val="none" w:sz="0" w:space="0" w:color="auto"/>
              </w:divBdr>
            </w:div>
            <w:div w:id="426852206">
              <w:marLeft w:val="0"/>
              <w:marRight w:val="0"/>
              <w:marTop w:val="0"/>
              <w:marBottom w:val="0"/>
              <w:divBdr>
                <w:top w:val="none" w:sz="0" w:space="0" w:color="auto"/>
                <w:left w:val="none" w:sz="0" w:space="0" w:color="auto"/>
                <w:bottom w:val="none" w:sz="0" w:space="0" w:color="auto"/>
                <w:right w:val="none" w:sz="0" w:space="0" w:color="auto"/>
              </w:divBdr>
            </w:div>
            <w:div w:id="48766501">
              <w:marLeft w:val="0"/>
              <w:marRight w:val="0"/>
              <w:marTop w:val="0"/>
              <w:marBottom w:val="0"/>
              <w:divBdr>
                <w:top w:val="none" w:sz="0" w:space="0" w:color="auto"/>
                <w:left w:val="none" w:sz="0" w:space="0" w:color="auto"/>
                <w:bottom w:val="none" w:sz="0" w:space="0" w:color="auto"/>
                <w:right w:val="none" w:sz="0" w:space="0" w:color="auto"/>
              </w:divBdr>
            </w:div>
            <w:div w:id="1252278867">
              <w:marLeft w:val="0"/>
              <w:marRight w:val="0"/>
              <w:marTop w:val="0"/>
              <w:marBottom w:val="0"/>
              <w:divBdr>
                <w:top w:val="none" w:sz="0" w:space="0" w:color="auto"/>
                <w:left w:val="none" w:sz="0" w:space="0" w:color="auto"/>
                <w:bottom w:val="none" w:sz="0" w:space="0" w:color="auto"/>
                <w:right w:val="none" w:sz="0" w:space="0" w:color="auto"/>
              </w:divBdr>
            </w:div>
            <w:div w:id="1970814056">
              <w:marLeft w:val="0"/>
              <w:marRight w:val="0"/>
              <w:marTop w:val="0"/>
              <w:marBottom w:val="0"/>
              <w:divBdr>
                <w:top w:val="none" w:sz="0" w:space="0" w:color="auto"/>
                <w:left w:val="none" w:sz="0" w:space="0" w:color="auto"/>
                <w:bottom w:val="none" w:sz="0" w:space="0" w:color="auto"/>
                <w:right w:val="none" w:sz="0" w:space="0" w:color="auto"/>
              </w:divBdr>
            </w:div>
          </w:divsChild>
        </w:div>
        <w:div w:id="589503418">
          <w:marLeft w:val="0"/>
          <w:marRight w:val="0"/>
          <w:marTop w:val="0"/>
          <w:marBottom w:val="0"/>
          <w:divBdr>
            <w:top w:val="none" w:sz="0" w:space="0" w:color="auto"/>
            <w:left w:val="none" w:sz="0" w:space="0" w:color="auto"/>
            <w:bottom w:val="none" w:sz="0" w:space="0" w:color="auto"/>
            <w:right w:val="none" w:sz="0" w:space="0" w:color="auto"/>
          </w:divBdr>
          <w:divsChild>
            <w:div w:id="178593516">
              <w:marLeft w:val="0"/>
              <w:marRight w:val="0"/>
              <w:marTop w:val="0"/>
              <w:marBottom w:val="0"/>
              <w:divBdr>
                <w:top w:val="none" w:sz="0" w:space="0" w:color="auto"/>
                <w:left w:val="none" w:sz="0" w:space="0" w:color="auto"/>
                <w:bottom w:val="none" w:sz="0" w:space="0" w:color="auto"/>
                <w:right w:val="none" w:sz="0" w:space="0" w:color="auto"/>
              </w:divBdr>
            </w:div>
            <w:div w:id="1677730803">
              <w:marLeft w:val="0"/>
              <w:marRight w:val="0"/>
              <w:marTop w:val="0"/>
              <w:marBottom w:val="0"/>
              <w:divBdr>
                <w:top w:val="none" w:sz="0" w:space="0" w:color="auto"/>
                <w:left w:val="none" w:sz="0" w:space="0" w:color="auto"/>
                <w:bottom w:val="none" w:sz="0" w:space="0" w:color="auto"/>
                <w:right w:val="none" w:sz="0" w:space="0" w:color="auto"/>
              </w:divBdr>
            </w:div>
            <w:div w:id="1385065069">
              <w:marLeft w:val="0"/>
              <w:marRight w:val="0"/>
              <w:marTop w:val="0"/>
              <w:marBottom w:val="0"/>
              <w:divBdr>
                <w:top w:val="none" w:sz="0" w:space="0" w:color="auto"/>
                <w:left w:val="none" w:sz="0" w:space="0" w:color="auto"/>
                <w:bottom w:val="none" w:sz="0" w:space="0" w:color="auto"/>
                <w:right w:val="none" w:sz="0" w:space="0" w:color="auto"/>
              </w:divBdr>
            </w:div>
            <w:div w:id="1982423667">
              <w:marLeft w:val="0"/>
              <w:marRight w:val="0"/>
              <w:marTop w:val="0"/>
              <w:marBottom w:val="0"/>
              <w:divBdr>
                <w:top w:val="none" w:sz="0" w:space="0" w:color="auto"/>
                <w:left w:val="none" w:sz="0" w:space="0" w:color="auto"/>
                <w:bottom w:val="none" w:sz="0" w:space="0" w:color="auto"/>
                <w:right w:val="none" w:sz="0" w:space="0" w:color="auto"/>
              </w:divBdr>
            </w:div>
            <w:div w:id="1320620674">
              <w:marLeft w:val="0"/>
              <w:marRight w:val="0"/>
              <w:marTop w:val="0"/>
              <w:marBottom w:val="0"/>
              <w:divBdr>
                <w:top w:val="none" w:sz="0" w:space="0" w:color="auto"/>
                <w:left w:val="none" w:sz="0" w:space="0" w:color="auto"/>
                <w:bottom w:val="none" w:sz="0" w:space="0" w:color="auto"/>
                <w:right w:val="none" w:sz="0" w:space="0" w:color="auto"/>
              </w:divBdr>
            </w:div>
          </w:divsChild>
        </w:div>
        <w:div w:id="1897280118">
          <w:marLeft w:val="0"/>
          <w:marRight w:val="0"/>
          <w:marTop w:val="0"/>
          <w:marBottom w:val="0"/>
          <w:divBdr>
            <w:top w:val="none" w:sz="0" w:space="0" w:color="auto"/>
            <w:left w:val="none" w:sz="0" w:space="0" w:color="auto"/>
            <w:bottom w:val="none" w:sz="0" w:space="0" w:color="auto"/>
            <w:right w:val="none" w:sz="0" w:space="0" w:color="auto"/>
          </w:divBdr>
          <w:divsChild>
            <w:div w:id="1277711978">
              <w:marLeft w:val="0"/>
              <w:marRight w:val="0"/>
              <w:marTop w:val="0"/>
              <w:marBottom w:val="0"/>
              <w:divBdr>
                <w:top w:val="none" w:sz="0" w:space="0" w:color="auto"/>
                <w:left w:val="none" w:sz="0" w:space="0" w:color="auto"/>
                <w:bottom w:val="none" w:sz="0" w:space="0" w:color="auto"/>
                <w:right w:val="none" w:sz="0" w:space="0" w:color="auto"/>
              </w:divBdr>
            </w:div>
            <w:div w:id="1056971154">
              <w:marLeft w:val="0"/>
              <w:marRight w:val="0"/>
              <w:marTop w:val="0"/>
              <w:marBottom w:val="0"/>
              <w:divBdr>
                <w:top w:val="none" w:sz="0" w:space="0" w:color="auto"/>
                <w:left w:val="none" w:sz="0" w:space="0" w:color="auto"/>
                <w:bottom w:val="none" w:sz="0" w:space="0" w:color="auto"/>
                <w:right w:val="none" w:sz="0" w:space="0" w:color="auto"/>
              </w:divBdr>
            </w:div>
            <w:div w:id="60103825">
              <w:marLeft w:val="0"/>
              <w:marRight w:val="0"/>
              <w:marTop w:val="0"/>
              <w:marBottom w:val="0"/>
              <w:divBdr>
                <w:top w:val="none" w:sz="0" w:space="0" w:color="auto"/>
                <w:left w:val="none" w:sz="0" w:space="0" w:color="auto"/>
                <w:bottom w:val="none" w:sz="0" w:space="0" w:color="auto"/>
                <w:right w:val="none" w:sz="0" w:space="0" w:color="auto"/>
              </w:divBdr>
            </w:div>
            <w:div w:id="1644651933">
              <w:marLeft w:val="0"/>
              <w:marRight w:val="0"/>
              <w:marTop w:val="0"/>
              <w:marBottom w:val="0"/>
              <w:divBdr>
                <w:top w:val="none" w:sz="0" w:space="0" w:color="auto"/>
                <w:left w:val="none" w:sz="0" w:space="0" w:color="auto"/>
                <w:bottom w:val="none" w:sz="0" w:space="0" w:color="auto"/>
                <w:right w:val="none" w:sz="0" w:space="0" w:color="auto"/>
              </w:divBdr>
            </w:div>
            <w:div w:id="1322850415">
              <w:marLeft w:val="0"/>
              <w:marRight w:val="0"/>
              <w:marTop w:val="0"/>
              <w:marBottom w:val="0"/>
              <w:divBdr>
                <w:top w:val="none" w:sz="0" w:space="0" w:color="auto"/>
                <w:left w:val="none" w:sz="0" w:space="0" w:color="auto"/>
                <w:bottom w:val="none" w:sz="0" w:space="0" w:color="auto"/>
                <w:right w:val="none" w:sz="0" w:space="0" w:color="auto"/>
              </w:divBdr>
            </w:div>
          </w:divsChild>
        </w:div>
        <w:div w:id="125439956">
          <w:marLeft w:val="0"/>
          <w:marRight w:val="0"/>
          <w:marTop w:val="0"/>
          <w:marBottom w:val="0"/>
          <w:divBdr>
            <w:top w:val="none" w:sz="0" w:space="0" w:color="auto"/>
            <w:left w:val="none" w:sz="0" w:space="0" w:color="auto"/>
            <w:bottom w:val="none" w:sz="0" w:space="0" w:color="auto"/>
            <w:right w:val="none" w:sz="0" w:space="0" w:color="auto"/>
          </w:divBdr>
          <w:divsChild>
            <w:div w:id="1830514545">
              <w:marLeft w:val="0"/>
              <w:marRight w:val="0"/>
              <w:marTop w:val="0"/>
              <w:marBottom w:val="0"/>
              <w:divBdr>
                <w:top w:val="none" w:sz="0" w:space="0" w:color="auto"/>
                <w:left w:val="none" w:sz="0" w:space="0" w:color="auto"/>
                <w:bottom w:val="none" w:sz="0" w:space="0" w:color="auto"/>
                <w:right w:val="none" w:sz="0" w:space="0" w:color="auto"/>
              </w:divBdr>
            </w:div>
            <w:div w:id="1983852022">
              <w:marLeft w:val="0"/>
              <w:marRight w:val="0"/>
              <w:marTop w:val="0"/>
              <w:marBottom w:val="0"/>
              <w:divBdr>
                <w:top w:val="none" w:sz="0" w:space="0" w:color="auto"/>
                <w:left w:val="none" w:sz="0" w:space="0" w:color="auto"/>
                <w:bottom w:val="none" w:sz="0" w:space="0" w:color="auto"/>
                <w:right w:val="none" w:sz="0" w:space="0" w:color="auto"/>
              </w:divBdr>
            </w:div>
            <w:div w:id="1390806381">
              <w:marLeft w:val="0"/>
              <w:marRight w:val="0"/>
              <w:marTop w:val="0"/>
              <w:marBottom w:val="0"/>
              <w:divBdr>
                <w:top w:val="none" w:sz="0" w:space="0" w:color="auto"/>
                <w:left w:val="none" w:sz="0" w:space="0" w:color="auto"/>
                <w:bottom w:val="none" w:sz="0" w:space="0" w:color="auto"/>
                <w:right w:val="none" w:sz="0" w:space="0" w:color="auto"/>
              </w:divBdr>
            </w:div>
            <w:div w:id="1962346100">
              <w:marLeft w:val="0"/>
              <w:marRight w:val="0"/>
              <w:marTop w:val="0"/>
              <w:marBottom w:val="0"/>
              <w:divBdr>
                <w:top w:val="none" w:sz="0" w:space="0" w:color="auto"/>
                <w:left w:val="none" w:sz="0" w:space="0" w:color="auto"/>
                <w:bottom w:val="none" w:sz="0" w:space="0" w:color="auto"/>
                <w:right w:val="none" w:sz="0" w:space="0" w:color="auto"/>
              </w:divBdr>
            </w:div>
            <w:div w:id="316037857">
              <w:marLeft w:val="0"/>
              <w:marRight w:val="0"/>
              <w:marTop w:val="0"/>
              <w:marBottom w:val="0"/>
              <w:divBdr>
                <w:top w:val="none" w:sz="0" w:space="0" w:color="auto"/>
                <w:left w:val="none" w:sz="0" w:space="0" w:color="auto"/>
                <w:bottom w:val="none" w:sz="0" w:space="0" w:color="auto"/>
                <w:right w:val="none" w:sz="0" w:space="0" w:color="auto"/>
              </w:divBdr>
            </w:div>
          </w:divsChild>
        </w:div>
        <w:div w:id="1094476852">
          <w:marLeft w:val="0"/>
          <w:marRight w:val="0"/>
          <w:marTop w:val="0"/>
          <w:marBottom w:val="0"/>
          <w:divBdr>
            <w:top w:val="none" w:sz="0" w:space="0" w:color="auto"/>
            <w:left w:val="none" w:sz="0" w:space="0" w:color="auto"/>
            <w:bottom w:val="none" w:sz="0" w:space="0" w:color="auto"/>
            <w:right w:val="none" w:sz="0" w:space="0" w:color="auto"/>
          </w:divBdr>
          <w:divsChild>
            <w:div w:id="1311717343">
              <w:marLeft w:val="0"/>
              <w:marRight w:val="0"/>
              <w:marTop w:val="0"/>
              <w:marBottom w:val="0"/>
              <w:divBdr>
                <w:top w:val="none" w:sz="0" w:space="0" w:color="auto"/>
                <w:left w:val="none" w:sz="0" w:space="0" w:color="auto"/>
                <w:bottom w:val="none" w:sz="0" w:space="0" w:color="auto"/>
                <w:right w:val="none" w:sz="0" w:space="0" w:color="auto"/>
              </w:divBdr>
            </w:div>
            <w:div w:id="1281179458">
              <w:marLeft w:val="0"/>
              <w:marRight w:val="0"/>
              <w:marTop w:val="0"/>
              <w:marBottom w:val="0"/>
              <w:divBdr>
                <w:top w:val="none" w:sz="0" w:space="0" w:color="auto"/>
                <w:left w:val="none" w:sz="0" w:space="0" w:color="auto"/>
                <w:bottom w:val="none" w:sz="0" w:space="0" w:color="auto"/>
                <w:right w:val="none" w:sz="0" w:space="0" w:color="auto"/>
              </w:divBdr>
            </w:div>
            <w:div w:id="1596941638">
              <w:marLeft w:val="0"/>
              <w:marRight w:val="0"/>
              <w:marTop w:val="0"/>
              <w:marBottom w:val="0"/>
              <w:divBdr>
                <w:top w:val="none" w:sz="0" w:space="0" w:color="auto"/>
                <w:left w:val="none" w:sz="0" w:space="0" w:color="auto"/>
                <w:bottom w:val="none" w:sz="0" w:space="0" w:color="auto"/>
                <w:right w:val="none" w:sz="0" w:space="0" w:color="auto"/>
              </w:divBdr>
            </w:div>
            <w:div w:id="1454447648">
              <w:marLeft w:val="0"/>
              <w:marRight w:val="0"/>
              <w:marTop w:val="0"/>
              <w:marBottom w:val="0"/>
              <w:divBdr>
                <w:top w:val="none" w:sz="0" w:space="0" w:color="auto"/>
                <w:left w:val="none" w:sz="0" w:space="0" w:color="auto"/>
                <w:bottom w:val="none" w:sz="0" w:space="0" w:color="auto"/>
                <w:right w:val="none" w:sz="0" w:space="0" w:color="auto"/>
              </w:divBdr>
            </w:div>
            <w:div w:id="440952073">
              <w:marLeft w:val="0"/>
              <w:marRight w:val="0"/>
              <w:marTop w:val="0"/>
              <w:marBottom w:val="0"/>
              <w:divBdr>
                <w:top w:val="none" w:sz="0" w:space="0" w:color="auto"/>
                <w:left w:val="none" w:sz="0" w:space="0" w:color="auto"/>
                <w:bottom w:val="none" w:sz="0" w:space="0" w:color="auto"/>
                <w:right w:val="none" w:sz="0" w:space="0" w:color="auto"/>
              </w:divBdr>
            </w:div>
          </w:divsChild>
        </w:div>
        <w:div w:id="450513353">
          <w:marLeft w:val="0"/>
          <w:marRight w:val="0"/>
          <w:marTop w:val="0"/>
          <w:marBottom w:val="0"/>
          <w:divBdr>
            <w:top w:val="none" w:sz="0" w:space="0" w:color="auto"/>
            <w:left w:val="none" w:sz="0" w:space="0" w:color="auto"/>
            <w:bottom w:val="none" w:sz="0" w:space="0" w:color="auto"/>
            <w:right w:val="none" w:sz="0" w:space="0" w:color="auto"/>
          </w:divBdr>
          <w:divsChild>
            <w:div w:id="1011638200">
              <w:marLeft w:val="0"/>
              <w:marRight w:val="0"/>
              <w:marTop w:val="0"/>
              <w:marBottom w:val="0"/>
              <w:divBdr>
                <w:top w:val="none" w:sz="0" w:space="0" w:color="auto"/>
                <w:left w:val="none" w:sz="0" w:space="0" w:color="auto"/>
                <w:bottom w:val="none" w:sz="0" w:space="0" w:color="auto"/>
                <w:right w:val="none" w:sz="0" w:space="0" w:color="auto"/>
              </w:divBdr>
            </w:div>
            <w:div w:id="1065953009">
              <w:marLeft w:val="0"/>
              <w:marRight w:val="0"/>
              <w:marTop w:val="0"/>
              <w:marBottom w:val="0"/>
              <w:divBdr>
                <w:top w:val="none" w:sz="0" w:space="0" w:color="auto"/>
                <w:left w:val="none" w:sz="0" w:space="0" w:color="auto"/>
                <w:bottom w:val="none" w:sz="0" w:space="0" w:color="auto"/>
                <w:right w:val="none" w:sz="0" w:space="0" w:color="auto"/>
              </w:divBdr>
            </w:div>
            <w:div w:id="1915355870">
              <w:marLeft w:val="0"/>
              <w:marRight w:val="0"/>
              <w:marTop w:val="0"/>
              <w:marBottom w:val="0"/>
              <w:divBdr>
                <w:top w:val="none" w:sz="0" w:space="0" w:color="auto"/>
                <w:left w:val="none" w:sz="0" w:space="0" w:color="auto"/>
                <w:bottom w:val="none" w:sz="0" w:space="0" w:color="auto"/>
                <w:right w:val="none" w:sz="0" w:space="0" w:color="auto"/>
              </w:divBdr>
            </w:div>
            <w:div w:id="347948544">
              <w:marLeft w:val="0"/>
              <w:marRight w:val="0"/>
              <w:marTop w:val="0"/>
              <w:marBottom w:val="0"/>
              <w:divBdr>
                <w:top w:val="none" w:sz="0" w:space="0" w:color="auto"/>
                <w:left w:val="none" w:sz="0" w:space="0" w:color="auto"/>
                <w:bottom w:val="none" w:sz="0" w:space="0" w:color="auto"/>
                <w:right w:val="none" w:sz="0" w:space="0" w:color="auto"/>
              </w:divBdr>
            </w:div>
          </w:divsChild>
        </w:div>
        <w:div w:id="793060840">
          <w:marLeft w:val="0"/>
          <w:marRight w:val="0"/>
          <w:marTop w:val="0"/>
          <w:marBottom w:val="0"/>
          <w:divBdr>
            <w:top w:val="none" w:sz="0" w:space="0" w:color="auto"/>
            <w:left w:val="none" w:sz="0" w:space="0" w:color="auto"/>
            <w:bottom w:val="none" w:sz="0" w:space="0" w:color="auto"/>
            <w:right w:val="none" w:sz="0" w:space="0" w:color="auto"/>
          </w:divBdr>
        </w:div>
        <w:div w:id="1131289499">
          <w:marLeft w:val="0"/>
          <w:marRight w:val="0"/>
          <w:marTop w:val="0"/>
          <w:marBottom w:val="0"/>
          <w:divBdr>
            <w:top w:val="none" w:sz="0" w:space="0" w:color="auto"/>
            <w:left w:val="none" w:sz="0" w:space="0" w:color="auto"/>
            <w:bottom w:val="none" w:sz="0" w:space="0" w:color="auto"/>
            <w:right w:val="none" w:sz="0" w:space="0" w:color="auto"/>
          </w:divBdr>
        </w:div>
      </w:divsChild>
    </w:div>
    <w:div w:id="1448502180">
      <w:bodyDiv w:val="1"/>
      <w:marLeft w:val="0"/>
      <w:marRight w:val="0"/>
      <w:marTop w:val="0"/>
      <w:marBottom w:val="0"/>
      <w:divBdr>
        <w:top w:val="none" w:sz="0" w:space="0" w:color="auto"/>
        <w:left w:val="none" w:sz="0" w:space="0" w:color="auto"/>
        <w:bottom w:val="none" w:sz="0" w:space="0" w:color="auto"/>
        <w:right w:val="none" w:sz="0" w:space="0" w:color="auto"/>
      </w:divBdr>
      <w:divsChild>
        <w:div w:id="1931964368">
          <w:marLeft w:val="0"/>
          <w:marRight w:val="0"/>
          <w:marTop w:val="0"/>
          <w:marBottom w:val="0"/>
          <w:divBdr>
            <w:top w:val="none" w:sz="0" w:space="0" w:color="auto"/>
            <w:left w:val="none" w:sz="0" w:space="0" w:color="auto"/>
            <w:bottom w:val="none" w:sz="0" w:space="0" w:color="auto"/>
            <w:right w:val="none" w:sz="0" w:space="0" w:color="auto"/>
          </w:divBdr>
        </w:div>
        <w:div w:id="795297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nmsc.ca/Covid19VaccineGui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96AFDF8B41ABA344BD538E1F19ADA1F0" ma:contentTypeVersion="4" ma:contentTypeDescription="Új dokumentum létrehozása." ma:contentTypeScope="" ma:versionID="fe6571b237d9e85b56ca461634bb50ef">
  <xsd:schema xmlns:xsd="http://www.w3.org/2001/XMLSchema" xmlns:xs="http://www.w3.org/2001/XMLSchema" xmlns:p="http://schemas.microsoft.com/office/2006/metadata/properties" xmlns:ns2="4a52096b-0bc2-4534-b76f-1ea123b75e15" targetNamespace="http://schemas.microsoft.com/office/2006/metadata/properties" ma:root="true" ma:fieldsID="667a23afd179fff3484b6c4a2944bf27" ns2:_="">
    <xsd:import namespace="4a52096b-0bc2-4534-b76f-1ea123b75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2096b-0bc2-4534-b76f-1ea123b75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A5181-3B15-42C4-9CFA-944BA9DCB90D}">
  <ds:schemaRefs>
    <ds:schemaRef ds:uri="http://schemas.microsoft.com/sharepoint/v3/contenttype/forms"/>
  </ds:schemaRefs>
</ds:datastoreItem>
</file>

<file path=customXml/itemProps2.xml><?xml version="1.0" encoding="utf-8"?>
<ds:datastoreItem xmlns:ds="http://schemas.openxmlformats.org/officeDocument/2006/customXml" ds:itemID="{D21128BB-C8F7-4068-932B-1532A57041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E6F8BD-82E2-4A07-9294-B6EA849E6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2096b-0bc2-4534-b76f-1ea123b75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F66C1-0F06-D04C-ADE9-17FD4668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4492</Words>
  <Characters>30995</Characters>
  <Application>Microsoft Office Word</Application>
  <DocSecurity>0</DocSecurity>
  <Lines>258</Lines>
  <Paragraphs>70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Csilla Rózsa</dc:creator>
  <cp:keywords/>
  <dc:description/>
  <cp:lastModifiedBy>Csilla Rózsa</cp:lastModifiedBy>
  <cp:revision>2</cp:revision>
  <dcterms:created xsi:type="dcterms:W3CDTF">2021-10-24T15:46:00Z</dcterms:created>
  <dcterms:modified xsi:type="dcterms:W3CDTF">2021-10-24T15:46:00Z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0x01010096AFDF8B41ABA344BD538E1F19ADA1F0</vt:lpwstr>
  </property>
</Properties>
</file>